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2.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3.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xml" ContentType="application/vnd.openxmlformats-officedocument.drawingml.chartshapes+xml"/>
  <Override PartName="/word/charts/chart1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1078"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366"/>
        <w:gridCol w:w="3368"/>
      </w:tblGrid>
      <w:tr w:rsidR="00535519" w14:paraId="700F05BD" w14:textId="77777777" w:rsidTr="00AA62B7">
        <w:tc>
          <w:tcPr>
            <w:tcW w:w="3352" w:type="dxa"/>
          </w:tcPr>
          <w:p w14:paraId="5A4CA20C" w14:textId="1AD68FA4" w:rsidR="00535519" w:rsidRPr="00F1226D" w:rsidRDefault="00535519" w:rsidP="00223DF7">
            <w:pPr>
              <w:pStyle w:val="Footer"/>
              <w:tabs>
                <w:tab w:val="clear" w:pos="4320"/>
                <w:tab w:val="clear" w:pos="8640"/>
              </w:tabs>
              <w:rPr>
                <w:b/>
                <w:sz w:val="18"/>
              </w:rPr>
            </w:pPr>
            <w:r w:rsidRPr="00F1226D">
              <w:rPr>
                <w:b/>
                <w:sz w:val="18"/>
              </w:rPr>
              <w:t>Date : 1/11/2015</w:t>
            </w:r>
          </w:p>
        </w:tc>
        <w:tc>
          <w:tcPr>
            <w:tcW w:w="3366" w:type="dxa"/>
          </w:tcPr>
          <w:p w14:paraId="48F194E1" w14:textId="7D7EDE65" w:rsidR="00535519" w:rsidRPr="00F1226D" w:rsidRDefault="00535519" w:rsidP="00223DF7">
            <w:pPr>
              <w:pStyle w:val="Footer"/>
              <w:tabs>
                <w:tab w:val="clear" w:pos="4320"/>
                <w:tab w:val="clear" w:pos="8640"/>
              </w:tabs>
              <w:rPr>
                <w:b/>
                <w:sz w:val="18"/>
              </w:rPr>
            </w:pPr>
            <w:r w:rsidRPr="00F1226D">
              <w:rPr>
                <w:b/>
                <w:sz w:val="18"/>
              </w:rPr>
              <w:t>Current Price</w:t>
            </w:r>
            <w:r w:rsidR="00607493">
              <w:rPr>
                <w:b/>
                <w:sz w:val="18"/>
              </w:rPr>
              <w:t>: $23.17</w:t>
            </w:r>
          </w:p>
        </w:tc>
        <w:tc>
          <w:tcPr>
            <w:tcW w:w="3368" w:type="dxa"/>
          </w:tcPr>
          <w:p w14:paraId="76E95281" w14:textId="3EDC2398" w:rsidR="00535519" w:rsidRPr="00FE44E8" w:rsidRDefault="00535519" w:rsidP="00223DF7">
            <w:pPr>
              <w:pStyle w:val="Footer"/>
              <w:tabs>
                <w:tab w:val="clear" w:pos="4320"/>
                <w:tab w:val="clear" w:pos="8640"/>
              </w:tabs>
              <w:rPr>
                <w:b/>
                <w:sz w:val="18"/>
              </w:rPr>
            </w:pPr>
            <w:r w:rsidRPr="00FE44E8">
              <w:rPr>
                <w:b/>
                <w:sz w:val="18"/>
              </w:rPr>
              <w:t>Recommended:</w:t>
            </w:r>
            <w:r w:rsidR="00FE44E8" w:rsidRPr="00FE44E8">
              <w:rPr>
                <w:b/>
                <w:sz w:val="18"/>
              </w:rPr>
              <w:t xml:space="preserve"> Hold</w:t>
            </w:r>
          </w:p>
        </w:tc>
      </w:tr>
      <w:tr w:rsidR="00535519" w14:paraId="6602E1F3" w14:textId="77777777" w:rsidTr="00AA62B7">
        <w:tc>
          <w:tcPr>
            <w:tcW w:w="3352" w:type="dxa"/>
          </w:tcPr>
          <w:p w14:paraId="0B5C0CA3" w14:textId="485A6812" w:rsidR="00535519" w:rsidRPr="00F1226D" w:rsidRDefault="00535519" w:rsidP="00223DF7">
            <w:pPr>
              <w:pStyle w:val="Footer"/>
              <w:tabs>
                <w:tab w:val="clear" w:pos="4320"/>
                <w:tab w:val="clear" w:pos="8640"/>
              </w:tabs>
              <w:rPr>
                <w:b/>
                <w:sz w:val="18"/>
              </w:rPr>
            </w:pPr>
            <w:r w:rsidRPr="00F1226D">
              <w:rPr>
                <w:b/>
                <w:sz w:val="18"/>
              </w:rPr>
              <w:t>Ticker : WB CN: TSX</w:t>
            </w:r>
          </w:p>
        </w:tc>
        <w:tc>
          <w:tcPr>
            <w:tcW w:w="3366" w:type="dxa"/>
          </w:tcPr>
          <w:p w14:paraId="655D8F1F" w14:textId="77777777" w:rsidR="00535519" w:rsidRPr="00F1226D" w:rsidRDefault="00535519" w:rsidP="00223DF7">
            <w:pPr>
              <w:pStyle w:val="Footer"/>
              <w:tabs>
                <w:tab w:val="clear" w:pos="4320"/>
                <w:tab w:val="clear" w:pos="8640"/>
              </w:tabs>
              <w:rPr>
                <w:b/>
                <w:sz w:val="18"/>
              </w:rPr>
            </w:pPr>
            <w:r w:rsidRPr="00F1226D">
              <w:rPr>
                <w:b/>
                <w:sz w:val="18"/>
              </w:rPr>
              <w:t>Headquarters: Whistler, BC</w:t>
            </w:r>
          </w:p>
        </w:tc>
        <w:tc>
          <w:tcPr>
            <w:tcW w:w="3368" w:type="dxa"/>
          </w:tcPr>
          <w:p w14:paraId="51488428" w14:textId="14AD35E4" w:rsidR="00535519" w:rsidRPr="00FE44E8" w:rsidRDefault="00535519" w:rsidP="00223DF7">
            <w:pPr>
              <w:pStyle w:val="Footer"/>
              <w:tabs>
                <w:tab w:val="clear" w:pos="4320"/>
                <w:tab w:val="clear" w:pos="8640"/>
              </w:tabs>
              <w:rPr>
                <w:b/>
                <w:sz w:val="18"/>
              </w:rPr>
            </w:pPr>
            <w:r w:rsidRPr="00FE44E8">
              <w:rPr>
                <w:b/>
                <w:sz w:val="18"/>
              </w:rPr>
              <w:t>Target Price</w:t>
            </w:r>
            <w:r w:rsidR="00607493" w:rsidRPr="00FE44E8">
              <w:rPr>
                <w:b/>
                <w:sz w:val="18"/>
              </w:rPr>
              <w:t xml:space="preserve">: </w:t>
            </w:r>
            <w:r w:rsidR="00C941C9">
              <w:rPr>
                <w:b/>
                <w:sz w:val="18"/>
              </w:rPr>
              <w:t>$22.16</w:t>
            </w:r>
          </w:p>
        </w:tc>
      </w:tr>
    </w:tbl>
    <w:p w14:paraId="17A304F1" w14:textId="083CA8F3" w:rsidR="00535519" w:rsidRDefault="004E2F12" w:rsidP="00711A13">
      <w:pPr>
        <w:pStyle w:val="Footer"/>
        <w:tabs>
          <w:tab w:val="clear" w:pos="4320"/>
          <w:tab w:val="clear" w:pos="8640"/>
          <w:tab w:val="left" w:pos="7785"/>
        </w:tabs>
        <w:rPr>
          <w:rFonts w:ascii="Times New Roman" w:hAnsi="Times New Roman"/>
          <w:noProof/>
        </w:rPr>
      </w:pPr>
      <w:r>
        <w:rPr>
          <w:rFonts w:ascii="Times New Roman" w:hAnsi="Times New Roman"/>
          <w:noProof/>
          <w:lang w:val="en-CA" w:eastAsia="en-CA"/>
        </w:rPr>
        <mc:AlternateContent>
          <mc:Choice Requires="wps">
            <w:drawing>
              <wp:anchor distT="0" distB="0" distL="114300" distR="114300" simplePos="0" relativeHeight="251653632" behindDoc="0" locked="0" layoutInCell="1" allowOverlap="1" wp14:anchorId="0B04C5E5" wp14:editId="5DBDB15F">
                <wp:simplePos x="0" y="0"/>
                <wp:positionH relativeFrom="margin">
                  <wp:align>right</wp:align>
                </wp:positionH>
                <wp:positionV relativeFrom="paragraph">
                  <wp:posOffset>-1293495</wp:posOffset>
                </wp:positionV>
                <wp:extent cx="4429125" cy="784225"/>
                <wp:effectExtent l="0" t="0" r="952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7842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C9A0BFE" w14:textId="77777777" w:rsidR="00412E12" w:rsidRDefault="00412E12" w:rsidP="004E2F12">
                            <w:pPr>
                              <w:pStyle w:val="CompanyName"/>
                              <w:rPr>
                                <w:rFonts w:ascii="Times New Roman" w:hAnsi="Times New Roman"/>
                                <w:i/>
                                <w:color w:val="FF0000"/>
                                <w:sz w:val="20"/>
                              </w:rPr>
                            </w:pPr>
                          </w:p>
                          <w:p w14:paraId="2CCADD0D" w14:textId="7A76D60F" w:rsidR="00412E12" w:rsidRPr="00BA6ADA" w:rsidRDefault="00412E12" w:rsidP="004E2F12">
                            <w:pPr>
                              <w:pStyle w:val="CompanyName"/>
                              <w:rPr>
                                <w:rFonts w:ascii="Times New Roman" w:hAnsi="Times New Roman"/>
                                <w:i/>
                                <w:sz w:val="28"/>
                              </w:rPr>
                            </w:pPr>
                            <w:r>
                              <w:rPr>
                                <w:rFonts w:ascii="Times New Roman" w:hAnsi="Times New Roman"/>
                                <w:i/>
                              </w:rPr>
                              <w:t>Team D</w:t>
                            </w:r>
                            <w:r w:rsidRPr="00BA6ADA">
                              <w:rPr>
                                <w:rFonts w:ascii="Times New Roman" w:hAnsi="Times New Roman"/>
                                <w:i/>
                              </w:rPr>
                              <w:t xml:space="preserve"> – Student Research </w:t>
                            </w:r>
                            <w:r w:rsidRPr="00BA6ADA">
                              <w:rPr>
                                <w:rFonts w:ascii="Times New Roman" w:hAnsi="Times New Roman"/>
                                <w:i/>
                                <w:sz w:val="28"/>
                              </w:rPr>
                              <w:t xml:space="preserve"> </w:t>
                            </w:r>
                          </w:p>
                          <w:p w14:paraId="7D8F0406" w14:textId="77777777" w:rsidR="00412E12" w:rsidRPr="00BA6ADA" w:rsidRDefault="00412E12" w:rsidP="004E2F12">
                            <w:pPr>
                              <w:pStyle w:val="CompanyName"/>
                              <w:rPr>
                                <w:rFonts w:ascii="Times New Roman" w:hAnsi="Times New Roman"/>
                                <w:sz w:val="20"/>
                              </w:rPr>
                            </w:pPr>
                            <w:r w:rsidRPr="00BA6ADA">
                              <w:rPr>
                                <w:rFonts w:ascii="Times New Roman" w:hAnsi="Times New Roman"/>
                                <w:i/>
                                <w:sz w:val="20"/>
                              </w:rPr>
                              <w:t>Ski &amp; Snowboarding Resorts</w:t>
                            </w:r>
                          </w:p>
                          <w:p w14:paraId="729A653E" w14:textId="77777777" w:rsidR="00412E12" w:rsidRPr="00BA6ADA" w:rsidRDefault="00412E12" w:rsidP="004E2F12">
                            <w:pPr>
                              <w:pStyle w:val="CompanyName"/>
                              <w:rPr>
                                <w:rFonts w:ascii="Times New Roman" w:hAnsi="Times New Roman"/>
                                <w:sz w:val="20"/>
                              </w:rPr>
                            </w:pPr>
                            <w:r w:rsidRPr="00BA6ADA">
                              <w:rPr>
                                <w:rFonts w:ascii="Times New Roman" w:hAnsi="Times New Roman"/>
                                <w:sz w:val="20"/>
                              </w:rPr>
                              <w:t>Toronto Stock Exchange</w:t>
                            </w:r>
                          </w:p>
                          <w:p w14:paraId="282B0086" w14:textId="77777777" w:rsidR="00412E12" w:rsidRPr="00BA6ADA" w:rsidRDefault="00412E12" w:rsidP="004E2F12">
                            <w:pPr>
                              <w:rPr>
                                <w:rFonts w:ascii="Times New Roman" w:hAnsi="Times New Roman"/>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4C5E5" id="Rectangle 7" o:spid="_x0000_s1026" style="position:absolute;margin-left:297.55pt;margin-top:-101.85pt;width:348.75pt;height:61.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SSPAIAADwEAAAOAAAAZHJzL2Uyb0RvYy54bWysU9uO0zAQfUfiHyy/p7ls2jRR01W3aRHS&#10;AisWPsB1nCYisY3tNimIf2fstN0uvCFeLM/tzMyZmcX90LXoyJRuBM9xOAkwYpyKsuH7HH/9svXm&#10;GGlDeElawVmOT0zj++XbN4teZiwStWhLphCAcJ31Mse1MTLzfU1r1hE9EZJxMFZCdcSAqPZ+qUgP&#10;6F3rR0Ew83uhSqkEZVqDthiNeOnwq4pR86mqNDOozTHUZtyr3Luzr79ckGyviKwbei6D/EMVHWk4&#10;JL1CFcQQdFDNX1BdQ5XQojITKjpfVFVDmesBugmDP7p5rolkrhcgR8srTfr/wdKPxyeFmjLHdxhx&#10;0sGIPgNphO9bhhJLTy91Bl7P8knZBrV8FPSbRlysa/BiK6VEXzNSQlGh9fdfBVhBQyja9R9ECejk&#10;YIRjaqhUZwGBAzS4gZyuA2GDQRSUcRylYTTFiIItmccR/G0Kkl2ipdLmHRMdsp8cK6jdoZPjozaj&#10;68XFJuNi27Qt6EnW8lcKwBw1kBtCrc1W4Wb4Mw3SzXwzj704mm28OChLb7Vdx95sGybT4q5Yr4vw&#10;17hLN0FhFAcPUeptZ/PEi6t46qVJMPeCMH1IZ0GcxsXWBUHqS1JHnuVr5N0MuwGKtSTuRHkCGpUY&#10;VxhODj61UD8w6mF9c6y/H4hiGLXvuR1FlAR2328FdSvsbgXCKUDl2GA0ftdmvJGDVM2+hkyhY5WL&#10;FYyvahyzL1Wdhw4r6mZzPid7A7ey83o5+uVvAAAA//8DAFBLAwQUAAYACAAAACEAJ+NxX98AAAAJ&#10;AQAADwAAAGRycy9kb3ducmV2LnhtbEyPQUvDQBCF74L/YRnBi7S7jZjUNJuigiDSi7XQ6zY7JqHZ&#10;2ZCdpPHfu570+OYN732v2M6uExMOofWkYbVUIJAqb1uqNRw+XxdrEIENWdN5Qg3fGGBbXl8VJrf+&#10;Qh847bkWMYRCbjQ0zH0uZagadCYsfY8UvS8/OMNRDrW0g7nEcNfJRKlUOtNSbGhMjy8NVuf96DRM&#10;x+PuGQ+jXE2Gs7u395HbFLW+vZmfNiAYZ/57hl/8iA5lZDr5kWwQnYY4hDUsEnWfgYh++pg9gDjF&#10;01olIMtC/l9Q/gAAAP//AwBQSwECLQAUAAYACAAAACEAtoM4kv4AAADhAQAAEwAAAAAAAAAAAAAA&#10;AAAAAAAAW0NvbnRlbnRfVHlwZXNdLnhtbFBLAQItABQABgAIAAAAIQA4/SH/1gAAAJQBAAALAAAA&#10;AAAAAAAAAAAAAC8BAABfcmVscy8ucmVsc1BLAQItABQABgAIAAAAIQB9DOSSPAIAADwEAAAOAAAA&#10;AAAAAAAAAAAAAC4CAABkcnMvZTJvRG9jLnhtbFBLAQItABQABgAIAAAAIQAn43Ff3wAAAAkBAAAP&#10;AAAAAAAAAAAAAAAAAJYEAABkcnMvZG93bnJldi54bWxQSwUGAAAAAAQABADzAAAAogUAAAAA&#10;" filled="f" stroked="f">
                <v:textbox inset="1pt,1pt,1pt,1pt">
                  <w:txbxContent>
                    <w:p w14:paraId="2C9A0BFE" w14:textId="77777777" w:rsidR="00412E12" w:rsidRDefault="00412E12" w:rsidP="004E2F12">
                      <w:pPr>
                        <w:pStyle w:val="CompanyName"/>
                        <w:rPr>
                          <w:rFonts w:ascii="Times New Roman" w:hAnsi="Times New Roman"/>
                          <w:i/>
                          <w:color w:val="FF0000"/>
                          <w:sz w:val="20"/>
                        </w:rPr>
                      </w:pPr>
                    </w:p>
                    <w:p w14:paraId="2CCADD0D" w14:textId="7A76D60F" w:rsidR="00412E12" w:rsidRPr="00BA6ADA" w:rsidRDefault="00412E12" w:rsidP="004E2F12">
                      <w:pPr>
                        <w:pStyle w:val="CompanyName"/>
                        <w:rPr>
                          <w:rFonts w:ascii="Times New Roman" w:hAnsi="Times New Roman"/>
                          <w:i/>
                          <w:sz w:val="28"/>
                        </w:rPr>
                      </w:pPr>
                      <w:r>
                        <w:rPr>
                          <w:rFonts w:ascii="Times New Roman" w:hAnsi="Times New Roman"/>
                          <w:i/>
                        </w:rPr>
                        <w:t>Team D</w:t>
                      </w:r>
                      <w:r w:rsidRPr="00BA6ADA">
                        <w:rPr>
                          <w:rFonts w:ascii="Times New Roman" w:hAnsi="Times New Roman"/>
                          <w:i/>
                        </w:rPr>
                        <w:t xml:space="preserve"> – Student Research </w:t>
                      </w:r>
                      <w:r w:rsidRPr="00BA6ADA">
                        <w:rPr>
                          <w:rFonts w:ascii="Times New Roman" w:hAnsi="Times New Roman"/>
                          <w:i/>
                          <w:sz w:val="28"/>
                        </w:rPr>
                        <w:t xml:space="preserve"> </w:t>
                      </w:r>
                    </w:p>
                    <w:p w14:paraId="7D8F0406" w14:textId="77777777" w:rsidR="00412E12" w:rsidRPr="00BA6ADA" w:rsidRDefault="00412E12" w:rsidP="004E2F12">
                      <w:pPr>
                        <w:pStyle w:val="CompanyName"/>
                        <w:rPr>
                          <w:rFonts w:ascii="Times New Roman" w:hAnsi="Times New Roman"/>
                          <w:sz w:val="20"/>
                        </w:rPr>
                      </w:pPr>
                      <w:r w:rsidRPr="00BA6ADA">
                        <w:rPr>
                          <w:rFonts w:ascii="Times New Roman" w:hAnsi="Times New Roman"/>
                          <w:i/>
                          <w:sz w:val="20"/>
                        </w:rPr>
                        <w:t>Ski &amp; Snowboarding Resorts</w:t>
                      </w:r>
                    </w:p>
                    <w:p w14:paraId="729A653E" w14:textId="77777777" w:rsidR="00412E12" w:rsidRPr="00BA6ADA" w:rsidRDefault="00412E12" w:rsidP="004E2F12">
                      <w:pPr>
                        <w:pStyle w:val="CompanyName"/>
                        <w:rPr>
                          <w:rFonts w:ascii="Times New Roman" w:hAnsi="Times New Roman"/>
                          <w:sz w:val="20"/>
                        </w:rPr>
                      </w:pPr>
                      <w:r w:rsidRPr="00BA6ADA">
                        <w:rPr>
                          <w:rFonts w:ascii="Times New Roman" w:hAnsi="Times New Roman"/>
                          <w:sz w:val="20"/>
                        </w:rPr>
                        <w:t>Toronto Stock Exchange</w:t>
                      </w:r>
                    </w:p>
                    <w:p w14:paraId="282B0086" w14:textId="77777777" w:rsidR="00412E12" w:rsidRPr="00BA6ADA" w:rsidRDefault="00412E12" w:rsidP="004E2F12">
                      <w:pPr>
                        <w:rPr>
                          <w:rFonts w:ascii="Times New Roman" w:hAnsi="Times New Roman"/>
                        </w:rPr>
                      </w:pPr>
                    </w:p>
                  </w:txbxContent>
                </v:textbox>
                <w10:wrap anchorx="margin"/>
              </v:rect>
            </w:pict>
          </mc:Fallback>
        </mc:AlternateContent>
      </w:r>
      <w:r>
        <w:rPr>
          <w:rFonts w:ascii="Times New Roman" w:hAnsi="Times New Roman"/>
          <w:noProof/>
          <w:lang w:val="en-CA" w:eastAsia="en-CA"/>
        </w:rPr>
        <mc:AlternateContent>
          <mc:Choice Requires="wps">
            <w:drawing>
              <wp:anchor distT="0" distB="0" distL="114300" distR="114300" simplePos="0" relativeHeight="251654656" behindDoc="0" locked="0" layoutInCell="1" allowOverlap="1" wp14:anchorId="1ADD8B7F" wp14:editId="52FF7A99">
                <wp:simplePos x="0" y="0"/>
                <wp:positionH relativeFrom="page">
                  <wp:posOffset>4733925</wp:posOffset>
                </wp:positionH>
                <wp:positionV relativeFrom="page">
                  <wp:posOffset>828675</wp:posOffset>
                </wp:positionV>
                <wp:extent cx="2426335" cy="45783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457835"/>
                        </a:xfrm>
                        <a:prstGeom prst="rect">
                          <a:avLst/>
                        </a:prstGeom>
                        <a:solidFill>
                          <a:srgbClr val="002060"/>
                        </a:solidFill>
                        <a:ln w="9525">
                          <a:noFill/>
                          <a:miter lim="800000"/>
                          <a:headEnd/>
                          <a:tailEnd/>
                        </a:ln>
                      </wps:spPr>
                      <wps:txbx>
                        <w:txbxContent>
                          <w:p w14:paraId="1ECFDCCA" w14:textId="77777777" w:rsidR="00412E12" w:rsidRDefault="00412E12" w:rsidP="009758AC">
                            <w:pPr>
                              <w:pStyle w:val="CompanyName"/>
                              <w:shd w:val="clear" w:color="auto" w:fill="002060"/>
                              <w:ind w:left="-6840"/>
                            </w:pPr>
                            <w:r>
                              <w:t>Whistler Blackcomb</w:t>
                            </w: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D8B7F" id="Rectangle 3" o:spid="_x0000_s1027" style="position:absolute;margin-left:372.75pt;margin-top:65.25pt;width:191.05pt;height:3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xIAIAACUEAAAOAAAAZHJzL2Uyb0RvYy54bWysU9uO0zAQfUfiHyy/06TptnSjpqtVl0VI&#10;C6xY+ADHcRIL3xi7TcrXM3a63QJviDxYM/GZ45kzM5ubUStyEOClNRWdz3JKhOG2kaar6Lev92/W&#10;lPjATMOUNaKiR+Hpzfb1q83gSlHY3qpGAEES48vBVbQPwZVZ5nkvNPMz64TBy9aCZgFd6LIG2IDs&#10;WmVFnq+ywULjwHLhPf69my7pNvG3reDhc9t6EYiqKOYW0gnprOOZbTes7IC5XvJTGuwfstBMGnz0&#10;THXHAiN7kH9RacnBetuGGbc6s20ruUg1YDXz/I9qnnrmRKoFxfHuLJP/f7T80+ERiGwqWlBimMYW&#10;fUHRmOmUIIsoz+B8iagn9wixQO8eLP/uibG7HlHiFsAOvWANJjWP+Oy3gOh4DCX18NE2yM72wSal&#10;xhZ0JEQNyJgacjw3RIyBcPxZXBWrxWJJCce7q+XbNdrxCVY+Rzvw4b2wmkSjooC5J3Z2ePBhgj5D&#10;UvZWyeZeKpUc6OqdAnJgcTjyIl+leUB2fwlThgwVvV4Wy8RsbIxHalZqGXB4ldQVXefxm8YpqvHO&#10;NAkSmFSTjbTKnOSJikzKhrEek/xJu6hWbZsj6gV2mlXcLTR6Cz8pGXBOK+p/7BkIStQHg5qv19f4&#10;LgmXDlw69aXDDEeqigZKJnMXpmXYO5Bdjy/NT0XeYp9amSR8yeqUPs5iasJpb+KwX/oJ9bLd218A&#10;AAD//wMAUEsDBBQABgAIAAAAIQBWlTab4QAAAAwBAAAPAAAAZHJzL2Rvd25yZXYueG1sTI/BaoNA&#10;EIbvhb7DMoXemt3YqMW4hlJSCBQCtb3ktroTlbqz4q7Rvn03p+Y2w//xzzf5bjE9u+DoOksS1isB&#10;DKm2uqNGwvfX+9MLMOcVadVbQgm/6GBX3N/lKtN2pk+8lL5hoYRcpiS03g8Z565u0Si3sgNSyM52&#10;NMqHdWy4HtUcyk3PIyESblRH4UKrBnxrsf4pJyOhTI94iPfJsYrncsNP+/F0mD6kfHxYXrfAPC7+&#10;H4arflCHIjhVdiLtWC8h3cRxQEPwLMJwJdZRmgCrJEQiSoAXOb99ovgDAAD//wMAUEsBAi0AFAAG&#10;AAgAAAAhALaDOJL+AAAA4QEAABMAAAAAAAAAAAAAAAAAAAAAAFtDb250ZW50X1R5cGVzXS54bWxQ&#10;SwECLQAUAAYACAAAACEAOP0h/9YAAACUAQAACwAAAAAAAAAAAAAAAAAvAQAAX3JlbHMvLnJlbHNQ&#10;SwECLQAUAAYACAAAACEAPuu1cSACAAAlBAAADgAAAAAAAAAAAAAAAAAuAgAAZHJzL2Uyb0RvYy54&#10;bWxQSwECLQAUAAYACAAAACEAVpU2m+EAAAAMAQAADwAAAAAAAAAAAAAAAAB6BAAAZHJzL2Rvd25y&#10;ZXYueG1sUEsFBgAAAAAEAAQA8wAAAIgFAAAAAA==&#10;" fillcolor="#002060" stroked="f">
                <v:textbox inset="7pt,7pt,7pt,7pt">
                  <w:txbxContent>
                    <w:p w14:paraId="1ECFDCCA" w14:textId="77777777" w:rsidR="00412E12" w:rsidRDefault="00412E12" w:rsidP="009758AC">
                      <w:pPr>
                        <w:pStyle w:val="CompanyName"/>
                        <w:shd w:val="clear" w:color="auto" w:fill="002060"/>
                        <w:ind w:left="-6840"/>
                      </w:pPr>
                      <w:r>
                        <w:t>Whistler Blackcomb</w:t>
                      </w:r>
                    </w:p>
                  </w:txbxContent>
                </v:textbox>
                <w10:wrap anchorx="page" anchory="page"/>
              </v:rect>
            </w:pict>
          </mc:Fallback>
        </mc:AlternateContent>
      </w:r>
    </w:p>
    <w:tbl>
      <w:tblPr>
        <w:tblpPr w:leftFromText="180" w:rightFromText="180" w:vertAnchor="text" w:horzAnchor="page" w:tblpX="4171" w:tblpY="7965"/>
        <w:tblW w:w="75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9"/>
        <w:gridCol w:w="973"/>
        <w:gridCol w:w="973"/>
        <w:gridCol w:w="973"/>
        <w:gridCol w:w="973"/>
        <w:gridCol w:w="973"/>
        <w:gridCol w:w="973"/>
      </w:tblGrid>
      <w:tr w:rsidR="00AA62B7" w:rsidRPr="00AA62B7" w14:paraId="04B19458" w14:textId="77777777" w:rsidTr="00AA62B7">
        <w:trPr>
          <w:trHeight w:val="380"/>
        </w:trPr>
        <w:tc>
          <w:tcPr>
            <w:tcW w:w="1709" w:type="dxa"/>
            <w:shd w:val="clear" w:color="000000" w:fill="002060"/>
            <w:noWrap/>
            <w:vAlign w:val="bottom"/>
            <w:hideMark/>
          </w:tcPr>
          <w:p w14:paraId="61566C47" w14:textId="77777777" w:rsidR="00AA62B7" w:rsidRPr="00AA62B7" w:rsidRDefault="00AA62B7" w:rsidP="00AA62B7">
            <w:pPr>
              <w:jc w:val="center"/>
              <w:rPr>
                <w:rFonts w:ascii="Calibri" w:eastAsia="Times New Roman" w:hAnsi="Calibri"/>
                <w:b/>
                <w:bCs/>
                <w:color w:val="FFFFFF"/>
                <w:sz w:val="16"/>
                <w:szCs w:val="22"/>
                <w:lang w:val="en-CA" w:eastAsia="zh-CN"/>
              </w:rPr>
            </w:pPr>
            <w:r w:rsidRPr="00AA62B7">
              <w:rPr>
                <w:rFonts w:ascii="Calibri" w:eastAsia="Times New Roman" w:hAnsi="Calibri"/>
                <w:b/>
                <w:bCs/>
                <w:color w:val="FFFFFF"/>
                <w:sz w:val="18"/>
                <w:szCs w:val="22"/>
                <w:lang w:val="en-CA" w:eastAsia="zh-CN"/>
              </w:rPr>
              <w:t>Key Financials&amp;Ratios</w:t>
            </w:r>
          </w:p>
        </w:tc>
        <w:tc>
          <w:tcPr>
            <w:tcW w:w="973" w:type="dxa"/>
            <w:shd w:val="clear" w:color="000000" w:fill="002060"/>
            <w:noWrap/>
            <w:vAlign w:val="bottom"/>
            <w:hideMark/>
          </w:tcPr>
          <w:p w14:paraId="4B84BF1A" w14:textId="77777777" w:rsidR="00AA62B7" w:rsidRPr="00AA62B7" w:rsidRDefault="00AA62B7" w:rsidP="00AA62B7">
            <w:pPr>
              <w:jc w:val="right"/>
              <w:rPr>
                <w:rFonts w:ascii="Arial" w:eastAsia="Times New Roman" w:hAnsi="Arial" w:cs="Arial"/>
                <w:b/>
                <w:bCs/>
                <w:color w:val="FFFFFF"/>
                <w:sz w:val="16"/>
                <w:szCs w:val="22"/>
                <w:lang w:val="en-CA" w:eastAsia="zh-CN"/>
              </w:rPr>
            </w:pPr>
            <w:r w:rsidRPr="00AA62B7">
              <w:rPr>
                <w:rFonts w:ascii="Arial" w:eastAsia="Times New Roman" w:hAnsi="Arial" w:cs="Arial"/>
                <w:b/>
                <w:bCs/>
                <w:color w:val="FFFFFF"/>
                <w:sz w:val="16"/>
                <w:szCs w:val="22"/>
                <w:lang w:val="en-CA" w:eastAsia="zh-CN"/>
              </w:rPr>
              <w:t>2015</w:t>
            </w:r>
          </w:p>
        </w:tc>
        <w:tc>
          <w:tcPr>
            <w:tcW w:w="973" w:type="dxa"/>
            <w:shd w:val="clear" w:color="000000" w:fill="002060"/>
            <w:noWrap/>
            <w:vAlign w:val="bottom"/>
            <w:hideMark/>
          </w:tcPr>
          <w:p w14:paraId="3EA42415" w14:textId="77777777" w:rsidR="00AA62B7" w:rsidRPr="00AA62B7" w:rsidRDefault="00AA62B7" w:rsidP="00AA62B7">
            <w:pPr>
              <w:rPr>
                <w:rFonts w:ascii="Arial" w:eastAsia="Times New Roman" w:hAnsi="Arial" w:cs="Arial"/>
                <w:b/>
                <w:bCs/>
                <w:color w:val="FFFFFF"/>
                <w:sz w:val="16"/>
                <w:szCs w:val="22"/>
                <w:lang w:val="en-CA" w:eastAsia="zh-CN"/>
              </w:rPr>
            </w:pPr>
            <w:r w:rsidRPr="00AA62B7">
              <w:rPr>
                <w:rFonts w:ascii="Arial" w:eastAsia="Times New Roman" w:hAnsi="Arial" w:cs="Arial"/>
                <w:b/>
                <w:bCs/>
                <w:color w:val="FFFFFF"/>
                <w:sz w:val="16"/>
                <w:szCs w:val="22"/>
                <w:lang w:val="en-CA" w:eastAsia="zh-CN"/>
              </w:rPr>
              <w:t>2016E</w:t>
            </w:r>
          </w:p>
        </w:tc>
        <w:tc>
          <w:tcPr>
            <w:tcW w:w="973" w:type="dxa"/>
            <w:shd w:val="clear" w:color="000000" w:fill="002060"/>
            <w:noWrap/>
            <w:vAlign w:val="bottom"/>
            <w:hideMark/>
          </w:tcPr>
          <w:p w14:paraId="3A091917" w14:textId="77777777" w:rsidR="00AA62B7" w:rsidRPr="00AA62B7" w:rsidRDefault="00AA62B7" w:rsidP="00AA62B7">
            <w:pPr>
              <w:rPr>
                <w:rFonts w:ascii="Arial" w:eastAsia="Times New Roman" w:hAnsi="Arial" w:cs="Arial"/>
                <w:b/>
                <w:bCs/>
                <w:color w:val="FFFFFF"/>
                <w:sz w:val="16"/>
                <w:szCs w:val="22"/>
                <w:lang w:val="en-CA" w:eastAsia="zh-CN"/>
              </w:rPr>
            </w:pPr>
            <w:r w:rsidRPr="00AA62B7">
              <w:rPr>
                <w:rFonts w:ascii="Arial" w:eastAsia="Times New Roman" w:hAnsi="Arial" w:cs="Arial"/>
                <w:b/>
                <w:bCs/>
                <w:color w:val="FFFFFF"/>
                <w:sz w:val="16"/>
                <w:szCs w:val="22"/>
                <w:lang w:val="en-CA" w:eastAsia="zh-CN"/>
              </w:rPr>
              <w:t>2017E</w:t>
            </w:r>
          </w:p>
        </w:tc>
        <w:tc>
          <w:tcPr>
            <w:tcW w:w="973" w:type="dxa"/>
            <w:shd w:val="clear" w:color="000000" w:fill="002060"/>
            <w:noWrap/>
            <w:vAlign w:val="bottom"/>
            <w:hideMark/>
          </w:tcPr>
          <w:p w14:paraId="0A144A92" w14:textId="77777777" w:rsidR="00AA62B7" w:rsidRPr="00AA62B7" w:rsidRDefault="00AA62B7" w:rsidP="00AA62B7">
            <w:pPr>
              <w:rPr>
                <w:rFonts w:ascii="Arial" w:eastAsia="Times New Roman" w:hAnsi="Arial" w:cs="Arial"/>
                <w:b/>
                <w:bCs/>
                <w:color w:val="FFFFFF"/>
                <w:sz w:val="16"/>
                <w:szCs w:val="22"/>
                <w:lang w:val="en-CA" w:eastAsia="zh-CN"/>
              </w:rPr>
            </w:pPr>
            <w:r w:rsidRPr="00AA62B7">
              <w:rPr>
                <w:rFonts w:ascii="Arial" w:eastAsia="Times New Roman" w:hAnsi="Arial" w:cs="Arial"/>
                <w:b/>
                <w:bCs/>
                <w:color w:val="FFFFFF"/>
                <w:sz w:val="16"/>
                <w:szCs w:val="22"/>
                <w:lang w:val="en-CA" w:eastAsia="zh-CN"/>
              </w:rPr>
              <w:t>2018E</w:t>
            </w:r>
          </w:p>
        </w:tc>
        <w:tc>
          <w:tcPr>
            <w:tcW w:w="973" w:type="dxa"/>
            <w:shd w:val="clear" w:color="000000" w:fill="002060"/>
            <w:noWrap/>
            <w:vAlign w:val="bottom"/>
            <w:hideMark/>
          </w:tcPr>
          <w:p w14:paraId="477D73E4" w14:textId="77777777" w:rsidR="00AA62B7" w:rsidRPr="00AA62B7" w:rsidRDefault="00AA62B7" w:rsidP="00AA62B7">
            <w:pPr>
              <w:rPr>
                <w:rFonts w:ascii="Arial" w:eastAsia="Times New Roman" w:hAnsi="Arial" w:cs="Arial"/>
                <w:b/>
                <w:bCs/>
                <w:color w:val="FFFFFF"/>
                <w:sz w:val="16"/>
                <w:szCs w:val="22"/>
                <w:lang w:val="en-CA" w:eastAsia="zh-CN"/>
              </w:rPr>
            </w:pPr>
            <w:r w:rsidRPr="00AA62B7">
              <w:rPr>
                <w:rFonts w:ascii="Arial" w:eastAsia="Times New Roman" w:hAnsi="Arial" w:cs="Arial"/>
                <w:b/>
                <w:bCs/>
                <w:color w:val="FFFFFF"/>
                <w:sz w:val="16"/>
                <w:szCs w:val="22"/>
                <w:lang w:val="en-CA" w:eastAsia="zh-CN"/>
              </w:rPr>
              <w:t>2019E</w:t>
            </w:r>
          </w:p>
        </w:tc>
        <w:tc>
          <w:tcPr>
            <w:tcW w:w="973" w:type="dxa"/>
            <w:shd w:val="clear" w:color="000000" w:fill="002060"/>
            <w:noWrap/>
            <w:vAlign w:val="bottom"/>
            <w:hideMark/>
          </w:tcPr>
          <w:p w14:paraId="32D3DC27" w14:textId="77777777" w:rsidR="00AA62B7" w:rsidRPr="00AA62B7" w:rsidRDefault="00AA62B7" w:rsidP="00AA62B7">
            <w:pPr>
              <w:rPr>
                <w:rFonts w:ascii="Arial" w:eastAsia="Times New Roman" w:hAnsi="Arial" w:cs="Arial"/>
                <w:b/>
                <w:bCs/>
                <w:color w:val="FFFFFF"/>
                <w:sz w:val="16"/>
                <w:szCs w:val="22"/>
                <w:lang w:val="en-CA" w:eastAsia="zh-CN"/>
              </w:rPr>
            </w:pPr>
            <w:r w:rsidRPr="00AA62B7">
              <w:rPr>
                <w:rFonts w:ascii="Arial" w:eastAsia="Times New Roman" w:hAnsi="Arial" w:cs="Arial"/>
                <w:b/>
                <w:bCs/>
                <w:color w:val="FFFFFF"/>
                <w:sz w:val="16"/>
                <w:szCs w:val="22"/>
                <w:lang w:val="en-CA" w:eastAsia="zh-CN"/>
              </w:rPr>
              <w:t>2020E</w:t>
            </w:r>
          </w:p>
        </w:tc>
      </w:tr>
      <w:tr w:rsidR="00AA62B7" w:rsidRPr="00AA62B7" w14:paraId="19773604" w14:textId="77777777" w:rsidTr="00AA62B7">
        <w:trPr>
          <w:trHeight w:val="380"/>
        </w:trPr>
        <w:tc>
          <w:tcPr>
            <w:tcW w:w="1709" w:type="dxa"/>
            <w:shd w:val="clear" w:color="000000" w:fill="FFFFFF"/>
            <w:noWrap/>
            <w:vAlign w:val="bottom"/>
            <w:hideMark/>
          </w:tcPr>
          <w:p w14:paraId="2B94B515" w14:textId="77777777" w:rsidR="00AA62B7" w:rsidRPr="00AA62B7" w:rsidRDefault="00AA62B7" w:rsidP="00AA62B7">
            <w:pPr>
              <w:rPr>
                <w:rFonts w:ascii="Arial" w:eastAsia="Times New Roman" w:hAnsi="Arial" w:cs="Arial"/>
                <w:b/>
                <w:bCs/>
                <w:color w:val="000000"/>
                <w:sz w:val="16"/>
                <w:szCs w:val="22"/>
                <w:lang w:val="en-CA" w:eastAsia="zh-CN"/>
              </w:rPr>
            </w:pPr>
            <w:r w:rsidRPr="00AA62B7">
              <w:rPr>
                <w:rFonts w:ascii="Arial" w:eastAsia="Times New Roman" w:hAnsi="Arial" w:cs="Arial"/>
                <w:b/>
                <w:bCs/>
                <w:color w:val="000000"/>
                <w:sz w:val="16"/>
                <w:szCs w:val="22"/>
                <w:lang w:val="en-CA" w:eastAsia="zh-CN"/>
              </w:rPr>
              <w:t>Revenue</w:t>
            </w:r>
          </w:p>
        </w:tc>
        <w:tc>
          <w:tcPr>
            <w:tcW w:w="973" w:type="dxa"/>
            <w:shd w:val="clear" w:color="000000" w:fill="FFFFFF"/>
            <w:noWrap/>
            <w:vAlign w:val="bottom"/>
            <w:hideMark/>
          </w:tcPr>
          <w:p w14:paraId="02F3BA8D"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262.25 </w:t>
            </w:r>
          </w:p>
        </w:tc>
        <w:tc>
          <w:tcPr>
            <w:tcW w:w="973" w:type="dxa"/>
            <w:shd w:val="clear" w:color="000000" w:fill="FFFFFF"/>
            <w:noWrap/>
            <w:vAlign w:val="bottom"/>
            <w:hideMark/>
          </w:tcPr>
          <w:p w14:paraId="5B48777B"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285.00 </w:t>
            </w:r>
          </w:p>
        </w:tc>
        <w:tc>
          <w:tcPr>
            <w:tcW w:w="973" w:type="dxa"/>
            <w:shd w:val="clear" w:color="000000" w:fill="FFFFFF"/>
            <w:noWrap/>
            <w:vAlign w:val="bottom"/>
            <w:hideMark/>
          </w:tcPr>
          <w:p w14:paraId="061C95BD"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295.30 </w:t>
            </w:r>
          </w:p>
        </w:tc>
        <w:tc>
          <w:tcPr>
            <w:tcW w:w="973" w:type="dxa"/>
            <w:shd w:val="clear" w:color="000000" w:fill="FFFFFF"/>
            <w:noWrap/>
            <w:vAlign w:val="bottom"/>
            <w:hideMark/>
          </w:tcPr>
          <w:p w14:paraId="11A914EE"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303.40 </w:t>
            </w:r>
          </w:p>
        </w:tc>
        <w:tc>
          <w:tcPr>
            <w:tcW w:w="973" w:type="dxa"/>
            <w:shd w:val="clear" w:color="000000" w:fill="FFFFFF"/>
            <w:noWrap/>
            <w:vAlign w:val="bottom"/>
            <w:hideMark/>
          </w:tcPr>
          <w:p w14:paraId="1E94BAD1"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310.50 </w:t>
            </w:r>
          </w:p>
        </w:tc>
        <w:tc>
          <w:tcPr>
            <w:tcW w:w="973" w:type="dxa"/>
            <w:shd w:val="clear" w:color="000000" w:fill="FFFFFF"/>
            <w:noWrap/>
            <w:vAlign w:val="bottom"/>
            <w:hideMark/>
          </w:tcPr>
          <w:p w14:paraId="4ACF9AEC"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316.90 </w:t>
            </w:r>
          </w:p>
        </w:tc>
      </w:tr>
      <w:tr w:rsidR="00AA62B7" w:rsidRPr="00AA62B7" w14:paraId="0A6AD430" w14:textId="77777777" w:rsidTr="00AA62B7">
        <w:trPr>
          <w:trHeight w:val="380"/>
        </w:trPr>
        <w:tc>
          <w:tcPr>
            <w:tcW w:w="1709" w:type="dxa"/>
            <w:shd w:val="clear" w:color="000000" w:fill="FFFFFF"/>
            <w:noWrap/>
            <w:vAlign w:val="bottom"/>
            <w:hideMark/>
          </w:tcPr>
          <w:p w14:paraId="0D5FE89C" w14:textId="77777777" w:rsidR="00AA62B7" w:rsidRPr="00AA62B7" w:rsidRDefault="00AA62B7" w:rsidP="00AA62B7">
            <w:pPr>
              <w:rPr>
                <w:rFonts w:ascii="Arial" w:eastAsia="Times New Roman" w:hAnsi="Arial" w:cs="Arial"/>
                <w:b/>
                <w:bCs/>
                <w:color w:val="000000"/>
                <w:sz w:val="16"/>
                <w:szCs w:val="22"/>
                <w:lang w:val="en-CA" w:eastAsia="zh-CN"/>
              </w:rPr>
            </w:pPr>
            <w:r w:rsidRPr="00AA62B7">
              <w:rPr>
                <w:rFonts w:ascii="Arial" w:eastAsia="Times New Roman" w:hAnsi="Arial" w:cs="Arial"/>
                <w:b/>
                <w:bCs/>
                <w:color w:val="000000"/>
                <w:sz w:val="16"/>
                <w:szCs w:val="22"/>
                <w:lang w:val="en-CA" w:eastAsia="zh-CN"/>
              </w:rPr>
              <w:t>Net Income</w:t>
            </w:r>
          </w:p>
        </w:tc>
        <w:tc>
          <w:tcPr>
            <w:tcW w:w="973" w:type="dxa"/>
            <w:shd w:val="clear" w:color="000000" w:fill="FFFFFF"/>
            <w:noWrap/>
            <w:vAlign w:val="bottom"/>
            <w:hideMark/>
          </w:tcPr>
          <w:p w14:paraId="336B6225"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13.33 </w:t>
            </w:r>
          </w:p>
        </w:tc>
        <w:tc>
          <w:tcPr>
            <w:tcW w:w="973" w:type="dxa"/>
            <w:shd w:val="clear" w:color="000000" w:fill="FFFFFF"/>
            <w:noWrap/>
            <w:vAlign w:val="bottom"/>
            <w:hideMark/>
          </w:tcPr>
          <w:p w14:paraId="39A0E522"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18.04 </w:t>
            </w:r>
          </w:p>
        </w:tc>
        <w:tc>
          <w:tcPr>
            <w:tcW w:w="973" w:type="dxa"/>
            <w:shd w:val="clear" w:color="000000" w:fill="FFFFFF"/>
            <w:noWrap/>
            <w:vAlign w:val="bottom"/>
            <w:hideMark/>
          </w:tcPr>
          <w:p w14:paraId="6C830BF6"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21.29 </w:t>
            </w:r>
          </w:p>
        </w:tc>
        <w:tc>
          <w:tcPr>
            <w:tcW w:w="973" w:type="dxa"/>
            <w:shd w:val="clear" w:color="000000" w:fill="FFFFFF"/>
            <w:noWrap/>
            <w:vAlign w:val="bottom"/>
            <w:hideMark/>
          </w:tcPr>
          <w:p w14:paraId="7A6EC88F"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35.70 </w:t>
            </w:r>
          </w:p>
        </w:tc>
        <w:tc>
          <w:tcPr>
            <w:tcW w:w="973" w:type="dxa"/>
            <w:shd w:val="clear" w:color="000000" w:fill="FFFFFF"/>
            <w:noWrap/>
            <w:vAlign w:val="bottom"/>
            <w:hideMark/>
          </w:tcPr>
          <w:p w14:paraId="0711213F"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38.61 </w:t>
            </w:r>
          </w:p>
        </w:tc>
        <w:tc>
          <w:tcPr>
            <w:tcW w:w="973" w:type="dxa"/>
            <w:shd w:val="clear" w:color="000000" w:fill="FFFFFF"/>
            <w:noWrap/>
            <w:vAlign w:val="bottom"/>
            <w:hideMark/>
          </w:tcPr>
          <w:p w14:paraId="373514C6"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xml:space="preserve"> $      40.98 </w:t>
            </w:r>
          </w:p>
        </w:tc>
      </w:tr>
      <w:tr w:rsidR="00AA62B7" w:rsidRPr="00AA62B7" w14:paraId="505FA737" w14:textId="77777777" w:rsidTr="00AA62B7">
        <w:trPr>
          <w:trHeight w:val="399"/>
        </w:trPr>
        <w:tc>
          <w:tcPr>
            <w:tcW w:w="1709" w:type="dxa"/>
            <w:shd w:val="clear" w:color="000000" w:fill="FFFFFF"/>
            <w:noWrap/>
            <w:vAlign w:val="bottom"/>
            <w:hideMark/>
          </w:tcPr>
          <w:p w14:paraId="3F5AEA43" w14:textId="77777777" w:rsidR="00AA62B7" w:rsidRPr="00AA62B7" w:rsidRDefault="00AA62B7" w:rsidP="00AA62B7">
            <w:pPr>
              <w:rPr>
                <w:rFonts w:ascii="Arial" w:eastAsia="Times New Roman" w:hAnsi="Arial" w:cs="Arial"/>
                <w:b/>
                <w:bCs/>
                <w:color w:val="000000"/>
                <w:sz w:val="16"/>
                <w:szCs w:val="22"/>
                <w:lang w:val="en-CA" w:eastAsia="zh-CN"/>
              </w:rPr>
            </w:pPr>
            <w:r w:rsidRPr="00AA62B7">
              <w:rPr>
                <w:rFonts w:ascii="Arial" w:eastAsia="Times New Roman" w:hAnsi="Arial" w:cs="Arial"/>
                <w:b/>
                <w:bCs/>
                <w:color w:val="000000"/>
                <w:sz w:val="16"/>
                <w:szCs w:val="22"/>
                <w:lang w:val="en-CA" w:eastAsia="zh-CN"/>
              </w:rPr>
              <w:t>Net Profit Margin</w:t>
            </w:r>
          </w:p>
        </w:tc>
        <w:tc>
          <w:tcPr>
            <w:tcW w:w="973" w:type="dxa"/>
            <w:shd w:val="clear" w:color="000000" w:fill="FFFFFF"/>
            <w:noWrap/>
            <w:vAlign w:val="bottom"/>
            <w:hideMark/>
          </w:tcPr>
          <w:p w14:paraId="1DD9E85B"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7.8%</w:t>
            </w:r>
          </w:p>
        </w:tc>
        <w:tc>
          <w:tcPr>
            <w:tcW w:w="973" w:type="dxa"/>
            <w:shd w:val="clear" w:color="000000" w:fill="FFFFFF"/>
            <w:noWrap/>
            <w:vAlign w:val="bottom"/>
            <w:hideMark/>
          </w:tcPr>
          <w:p w14:paraId="4BB3A0A2"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10.0%</w:t>
            </w:r>
          </w:p>
        </w:tc>
        <w:tc>
          <w:tcPr>
            <w:tcW w:w="973" w:type="dxa"/>
            <w:shd w:val="clear" w:color="000000" w:fill="FFFFFF"/>
            <w:noWrap/>
            <w:vAlign w:val="bottom"/>
            <w:hideMark/>
          </w:tcPr>
          <w:p w14:paraId="45263BD2"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10.5%</w:t>
            </w:r>
          </w:p>
        </w:tc>
        <w:tc>
          <w:tcPr>
            <w:tcW w:w="973" w:type="dxa"/>
            <w:shd w:val="clear" w:color="000000" w:fill="FFFFFF"/>
            <w:noWrap/>
            <w:vAlign w:val="bottom"/>
            <w:hideMark/>
          </w:tcPr>
          <w:p w14:paraId="66D1C060"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10.8%</w:t>
            </w:r>
          </w:p>
        </w:tc>
        <w:tc>
          <w:tcPr>
            <w:tcW w:w="973" w:type="dxa"/>
            <w:shd w:val="clear" w:color="000000" w:fill="FFFFFF"/>
            <w:noWrap/>
            <w:vAlign w:val="bottom"/>
            <w:hideMark/>
          </w:tcPr>
          <w:p w14:paraId="17CE21F5"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11.1%</w:t>
            </w:r>
          </w:p>
        </w:tc>
        <w:tc>
          <w:tcPr>
            <w:tcW w:w="973" w:type="dxa"/>
            <w:shd w:val="clear" w:color="000000" w:fill="FFFFFF"/>
            <w:noWrap/>
            <w:vAlign w:val="bottom"/>
            <w:hideMark/>
          </w:tcPr>
          <w:p w14:paraId="59F969E0"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11.4%</w:t>
            </w:r>
          </w:p>
        </w:tc>
      </w:tr>
      <w:tr w:rsidR="00AA62B7" w:rsidRPr="00AA62B7" w14:paraId="070CE4A7" w14:textId="77777777" w:rsidTr="00AA62B7">
        <w:trPr>
          <w:trHeight w:val="380"/>
        </w:trPr>
        <w:tc>
          <w:tcPr>
            <w:tcW w:w="1709" w:type="dxa"/>
            <w:shd w:val="clear" w:color="000000" w:fill="FFFFFF"/>
            <w:noWrap/>
            <w:vAlign w:val="bottom"/>
            <w:hideMark/>
          </w:tcPr>
          <w:p w14:paraId="009ED7F4" w14:textId="77777777" w:rsidR="00AA62B7" w:rsidRPr="00AA62B7" w:rsidRDefault="00AA62B7" w:rsidP="00AA62B7">
            <w:pPr>
              <w:rPr>
                <w:rFonts w:ascii="Arial" w:eastAsia="Times New Roman" w:hAnsi="Arial" w:cs="Arial"/>
                <w:b/>
                <w:bCs/>
                <w:color w:val="000000"/>
                <w:sz w:val="16"/>
                <w:szCs w:val="22"/>
                <w:lang w:val="en-CA" w:eastAsia="zh-CN"/>
              </w:rPr>
            </w:pPr>
            <w:r w:rsidRPr="00AA62B7">
              <w:rPr>
                <w:rFonts w:ascii="Arial" w:eastAsia="Times New Roman" w:hAnsi="Arial" w:cs="Arial"/>
                <w:b/>
                <w:bCs/>
                <w:color w:val="000000"/>
                <w:sz w:val="16"/>
                <w:szCs w:val="22"/>
                <w:lang w:val="en-CA" w:eastAsia="zh-CN"/>
              </w:rPr>
              <w:t>Operating Margin</w:t>
            </w:r>
          </w:p>
        </w:tc>
        <w:tc>
          <w:tcPr>
            <w:tcW w:w="973" w:type="dxa"/>
            <w:shd w:val="clear" w:color="000000" w:fill="FFFFFF"/>
            <w:noWrap/>
            <w:vAlign w:val="bottom"/>
            <w:hideMark/>
          </w:tcPr>
          <w:p w14:paraId="68CF5F7D"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19.4%</w:t>
            </w:r>
          </w:p>
        </w:tc>
        <w:tc>
          <w:tcPr>
            <w:tcW w:w="973" w:type="dxa"/>
            <w:shd w:val="clear" w:color="000000" w:fill="FFFFFF"/>
            <w:noWrap/>
            <w:vAlign w:val="bottom"/>
            <w:hideMark/>
          </w:tcPr>
          <w:p w14:paraId="768F32EC"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24.1%</w:t>
            </w:r>
          </w:p>
        </w:tc>
        <w:tc>
          <w:tcPr>
            <w:tcW w:w="973" w:type="dxa"/>
            <w:shd w:val="clear" w:color="000000" w:fill="FFFFFF"/>
            <w:noWrap/>
            <w:vAlign w:val="bottom"/>
            <w:hideMark/>
          </w:tcPr>
          <w:p w14:paraId="6EA17E58"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24.7%</w:t>
            </w:r>
          </w:p>
        </w:tc>
        <w:tc>
          <w:tcPr>
            <w:tcW w:w="973" w:type="dxa"/>
            <w:shd w:val="clear" w:color="000000" w:fill="FFFFFF"/>
            <w:noWrap/>
            <w:vAlign w:val="bottom"/>
            <w:hideMark/>
          </w:tcPr>
          <w:p w14:paraId="4478E47D"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25.2%</w:t>
            </w:r>
          </w:p>
        </w:tc>
        <w:tc>
          <w:tcPr>
            <w:tcW w:w="973" w:type="dxa"/>
            <w:shd w:val="clear" w:color="000000" w:fill="FFFFFF"/>
            <w:noWrap/>
            <w:vAlign w:val="bottom"/>
            <w:hideMark/>
          </w:tcPr>
          <w:p w14:paraId="6CE26640"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25.7%</w:t>
            </w:r>
          </w:p>
        </w:tc>
        <w:tc>
          <w:tcPr>
            <w:tcW w:w="973" w:type="dxa"/>
            <w:shd w:val="clear" w:color="000000" w:fill="FFFFFF"/>
            <w:noWrap/>
            <w:vAlign w:val="bottom"/>
            <w:hideMark/>
          </w:tcPr>
          <w:p w14:paraId="44799318"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26.1%</w:t>
            </w:r>
          </w:p>
        </w:tc>
      </w:tr>
      <w:tr w:rsidR="00AA62B7" w:rsidRPr="00AA62B7" w14:paraId="416869B7" w14:textId="77777777" w:rsidTr="00AA62B7">
        <w:trPr>
          <w:trHeight w:val="399"/>
        </w:trPr>
        <w:tc>
          <w:tcPr>
            <w:tcW w:w="1709" w:type="dxa"/>
            <w:shd w:val="clear" w:color="000000" w:fill="FFFFFF"/>
            <w:noWrap/>
            <w:vAlign w:val="bottom"/>
            <w:hideMark/>
          </w:tcPr>
          <w:p w14:paraId="14AC817C" w14:textId="77777777" w:rsidR="00AA62B7" w:rsidRPr="00AA62B7" w:rsidRDefault="00AA62B7" w:rsidP="00AA62B7">
            <w:pPr>
              <w:rPr>
                <w:rFonts w:ascii="Arial" w:eastAsia="Times New Roman" w:hAnsi="Arial" w:cs="Arial"/>
                <w:b/>
                <w:bCs/>
                <w:color w:val="000000"/>
                <w:sz w:val="16"/>
                <w:szCs w:val="22"/>
                <w:lang w:val="en-CA" w:eastAsia="zh-CN"/>
              </w:rPr>
            </w:pPr>
            <w:r w:rsidRPr="00AA62B7">
              <w:rPr>
                <w:rFonts w:ascii="Arial" w:eastAsia="Times New Roman" w:hAnsi="Arial" w:cs="Arial"/>
                <w:b/>
                <w:bCs/>
                <w:color w:val="000000"/>
                <w:sz w:val="16"/>
                <w:szCs w:val="22"/>
                <w:lang w:val="en-CA" w:eastAsia="zh-CN"/>
              </w:rPr>
              <w:t>Interest Coverage</w:t>
            </w:r>
          </w:p>
        </w:tc>
        <w:tc>
          <w:tcPr>
            <w:tcW w:w="973" w:type="dxa"/>
            <w:shd w:val="clear" w:color="000000" w:fill="FFFFFF"/>
            <w:noWrap/>
            <w:vAlign w:val="bottom"/>
            <w:hideMark/>
          </w:tcPr>
          <w:p w14:paraId="38F028F8"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4.25</w:t>
            </w:r>
          </w:p>
        </w:tc>
        <w:tc>
          <w:tcPr>
            <w:tcW w:w="973" w:type="dxa"/>
            <w:shd w:val="clear" w:color="000000" w:fill="FFFFFF"/>
            <w:noWrap/>
            <w:vAlign w:val="bottom"/>
            <w:hideMark/>
          </w:tcPr>
          <w:p w14:paraId="70609166"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7.42</w:t>
            </w:r>
          </w:p>
        </w:tc>
        <w:tc>
          <w:tcPr>
            <w:tcW w:w="973" w:type="dxa"/>
            <w:shd w:val="clear" w:color="000000" w:fill="FFFFFF"/>
            <w:noWrap/>
            <w:vAlign w:val="bottom"/>
            <w:hideMark/>
          </w:tcPr>
          <w:p w14:paraId="43B6F80E"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7.89</w:t>
            </w:r>
          </w:p>
        </w:tc>
        <w:tc>
          <w:tcPr>
            <w:tcW w:w="973" w:type="dxa"/>
            <w:shd w:val="clear" w:color="000000" w:fill="FFFFFF"/>
            <w:noWrap/>
            <w:vAlign w:val="bottom"/>
            <w:hideMark/>
          </w:tcPr>
          <w:p w14:paraId="5D57109E"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8.27</w:t>
            </w:r>
          </w:p>
        </w:tc>
        <w:tc>
          <w:tcPr>
            <w:tcW w:w="973" w:type="dxa"/>
            <w:shd w:val="clear" w:color="000000" w:fill="FFFFFF"/>
            <w:noWrap/>
            <w:vAlign w:val="bottom"/>
            <w:hideMark/>
          </w:tcPr>
          <w:p w14:paraId="70256DF0"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8.61</w:t>
            </w:r>
          </w:p>
        </w:tc>
        <w:tc>
          <w:tcPr>
            <w:tcW w:w="973" w:type="dxa"/>
            <w:shd w:val="clear" w:color="000000" w:fill="FFFFFF"/>
            <w:noWrap/>
            <w:vAlign w:val="bottom"/>
            <w:hideMark/>
          </w:tcPr>
          <w:p w14:paraId="66F789A5"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8.92</w:t>
            </w:r>
          </w:p>
        </w:tc>
      </w:tr>
      <w:tr w:rsidR="00AA62B7" w:rsidRPr="00AA62B7" w14:paraId="331E38AA" w14:textId="77777777" w:rsidTr="00AA62B7">
        <w:trPr>
          <w:trHeight w:val="399"/>
        </w:trPr>
        <w:tc>
          <w:tcPr>
            <w:tcW w:w="1709" w:type="dxa"/>
            <w:shd w:val="clear" w:color="000000" w:fill="FFFFFF"/>
            <w:noWrap/>
            <w:vAlign w:val="bottom"/>
            <w:hideMark/>
          </w:tcPr>
          <w:p w14:paraId="5DAC6519" w14:textId="77777777" w:rsidR="00AA62B7" w:rsidRPr="00AA62B7" w:rsidRDefault="00AA62B7" w:rsidP="00AA62B7">
            <w:pPr>
              <w:rPr>
                <w:rFonts w:ascii="Arial" w:eastAsia="Times New Roman" w:hAnsi="Arial" w:cs="Arial"/>
                <w:b/>
                <w:bCs/>
                <w:color w:val="000000"/>
                <w:sz w:val="16"/>
                <w:szCs w:val="22"/>
                <w:lang w:val="en-CA" w:eastAsia="zh-CN"/>
              </w:rPr>
            </w:pPr>
            <w:r w:rsidRPr="00AA62B7">
              <w:rPr>
                <w:rFonts w:ascii="Arial" w:eastAsia="Times New Roman" w:hAnsi="Arial" w:cs="Arial"/>
                <w:b/>
                <w:bCs/>
                <w:color w:val="000000"/>
                <w:sz w:val="16"/>
                <w:szCs w:val="22"/>
                <w:lang w:val="en-CA" w:eastAsia="zh-CN"/>
              </w:rPr>
              <w:t>Dividend Coverage</w:t>
            </w:r>
          </w:p>
        </w:tc>
        <w:tc>
          <w:tcPr>
            <w:tcW w:w="973" w:type="dxa"/>
            <w:shd w:val="clear" w:color="000000" w:fill="FFFFFF"/>
            <w:noWrap/>
            <w:vAlign w:val="bottom"/>
            <w:hideMark/>
          </w:tcPr>
          <w:p w14:paraId="39AF6532"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0.55</w:t>
            </w:r>
          </w:p>
        </w:tc>
        <w:tc>
          <w:tcPr>
            <w:tcW w:w="973" w:type="dxa"/>
            <w:shd w:val="clear" w:color="000000" w:fill="FFFFFF"/>
            <w:noWrap/>
            <w:vAlign w:val="bottom"/>
            <w:hideMark/>
          </w:tcPr>
          <w:p w14:paraId="18CA0556"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0.77</w:t>
            </w:r>
          </w:p>
        </w:tc>
        <w:tc>
          <w:tcPr>
            <w:tcW w:w="973" w:type="dxa"/>
            <w:shd w:val="clear" w:color="000000" w:fill="FFFFFF"/>
            <w:noWrap/>
            <w:vAlign w:val="bottom"/>
            <w:hideMark/>
          </w:tcPr>
          <w:p w14:paraId="193B6360"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0.83</w:t>
            </w:r>
          </w:p>
        </w:tc>
        <w:tc>
          <w:tcPr>
            <w:tcW w:w="973" w:type="dxa"/>
            <w:shd w:val="clear" w:color="000000" w:fill="FFFFFF"/>
            <w:noWrap/>
            <w:vAlign w:val="bottom"/>
            <w:hideMark/>
          </w:tcPr>
          <w:p w14:paraId="16601705"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0.89</w:t>
            </w:r>
          </w:p>
        </w:tc>
        <w:tc>
          <w:tcPr>
            <w:tcW w:w="973" w:type="dxa"/>
            <w:shd w:val="clear" w:color="000000" w:fill="FFFFFF"/>
            <w:noWrap/>
            <w:vAlign w:val="bottom"/>
            <w:hideMark/>
          </w:tcPr>
          <w:p w14:paraId="7F5FD6AE"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0.93</w:t>
            </w:r>
          </w:p>
        </w:tc>
        <w:tc>
          <w:tcPr>
            <w:tcW w:w="973" w:type="dxa"/>
            <w:shd w:val="clear" w:color="000000" w:fill="FFFFFF"/>
            <w:noWrap/>
            <w:vAlign w:val="bottom"/>
            <w:hideMark/>
          </w:tcPr>
          <w:p w14:paraId="1ABBD670"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0.97</w:t>
            </w:r>
          </w:p>
        </w:tc>
      </w:tr>
      <w:tr w:rsidR="00AA62B7" w:rsidRPr="00AA62B7" w14:paraId="7C7BB4C0" w14:textId="77777777" w:rsidTr="00AA62B7">
        <w:trPr>
          <w:trHeight w:val="380"/>
        </w:trPr>
        <w:tc>
          <w:tcPr>
            <w:tcW w:w="1709" w:type="dxa"/>
            <w:shd w:val="clear" w:color="000000" w:fill="FFFFFF"/>
            <w:noWrap/>
            <w:vAlign w:val="bottom"/>
            <w:hideMark/>
          </w:tcPr>
          <w:p w14:paraId="2970B185" w14:textId="77777777" w:rsidR="00AA62B7" w:rsidRPr="00AA62B7" w:rsidRDefault="00AA62B7" w:rsidP="00AA62B7">
            <w:pPr>
              <w:rPr>
                <w:rFonts w:ascii="Arial" w:eastAsia="Times New Roman" w:hAnsi="Arial" w:cs="Arial"/>
                <w:b/>
                <w:bCs/>
                <w:color w:val="000000"/>
                <w:sz w:val="16"/>
                <w:szCs w:val="22"/>
                <w:lang w:val="en-CA" w:eastAsia="zh-CN"/>
              </w:rPr>
            </w:pPr>
            <w:r w:rsidRPr="00AA62B7">
              <w:rPr>
                <w:rFonts w:ascii="Arial" w:eastAsia="Times New Roman" w:hAnsi="Arial" w:cs="Arial"/>
                <w:b/>
                <w:bCs/>
                <w:color w:val="000000"/>
                <w:sz w:val="16"/>
                <w:szCs w:val="22"/>
                <w:lang w:val="en-CA" w:eastAsia="zh-CN"/>
              </w:rPr>
              <w:t>LT-Debt to Assets</w:t>
            </w:r>
          </w:p>
        </w:tc>
        <w:tc>
          <w:tcPr>
            <w:tcW w:w="973" w:type="dxa"/>
            <w:shd w:val="clear" w:color="000000" w:fill="FFFFFF"/>
            <w:noWrap/>
            <w:vAlign w:val="bottom"/>
            <w:hideMark/>
          </w:tcPr>
          <w:p w14:paraId="6356F409"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29.3%</w:t>
            </w:r>
          </w:p>
        </w:tc>
        <w:tc>
          <w:tcPr>
            <w:tcW w:w="973" w:type="dxa"/>
            <w:shd w:val="clear" w:color="000000" w:fill="FFFFFF"/>
            <w:noWrap/>
            <w:vAlign w:val="bottom"/>
            <w:hideMark/>
          </w:tcPr>
          <w:p w14:paraId="19DCEA5E"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29.4%</w:t>
            </w:r>
          </w:p>
        </w:tc>
        <w:tc>
          <w:tcPr>
            <w:tcW w:w="973" w:type="dxa"/>
            <w:shd w:val="clear" w:color="000000" w:fill="FFFFFF"/>
            <w:noWrap/>
            <w:vAlign w:val="bottom"/>
            <w:hideMark/>
          </w:tcPr>
          <w:p w14:paraId="4B17DD9B"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29.5%</w:t>
            </w:r>
          </w:p>
        </w:tc>
        <w:tc>
          <w:tcPr>
            <w:tcW w:w="973" w:type="dxa"/>
            <w:shd w:val="clear" w:color="000000" w:fill="FFFFFF"/>
            <w:noWrap/>
            <w:vAlign w:val="bottom"/>
            <w:hideMark/>
          </w:tcPr>
          <w:p w14:paraId="6D9D6BC2"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29.6%</w:t>
            </w:r>
          </w:p>
        </w:tc>
        <w:tc>
          <w:tcPr>
            <w:tcW w:w="973" w:type="dxa"/>
            <w:shd w:val="clear" w:color="000000" w:fill="FFFFFF"/>
            <w:noWrap/>
            <w:vAlign w:val="bottom"/>
            <w:hideMark/>
          </w:tcPr>
          <w:p w14:paraId="4B3BD342"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29.7%</w:t>
            </w:r>
          </w:p>
        </w:tc>
        <w:tc>
          <w:tcPr>
            <w:tcW w:w="973" w:type="dxa"/>
            <w:shd w:val="clear" w:color="000000" w:fill="FFFFFF"/>
            <w:noWrap/>
            <w:vAlign w:val="bottom"/>
            <w:hideMark/>
          </w:tcPr>
          <w:p w14:paraId="51246677"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29.7%</w:t>
            </w:r>
          </w:p>
        </w:tc>
      </w:tr>
      <w:tr w:rsidR="00AA62B7" w:rsidRPr="00AA62B7" w14:paraId="7372F956" w14:textId="77777777" w:rsidTr="00AA62B7">
        <w:trPr>
          <w:trHeight w:val="380"/>
        </w:trPr>
        <w:tc>
          <w:tcPr>
            <w:tcW w:w="1709" w:type="dxa"/>
            <w:shd w:val="clear" w:color="000000" w:fill="FFFFFF"/>
            <w:noWrap/>
            <w:vAlign w:val="bottom"/>
            <w:hideMark/>
          </w:tcPr>
          <w:p w14:paraId="30D21B91" w14:textId="77777777" w:rsidR="00AA62B7" w:rsidRPr="00AA62B7" w:rsidRDefault="00AA62B7" w:rsidP="00AA62B7">
            <w:pPr>
              <w:rPr>
                <w:rFonts w:ascii="Arial" w:eastAsia="Times New Roman" w:hAnsi="Arial" w:cs="Arial"/>
                <w:b/>
                <w:bCs/>
                <w:color w:val="000000"/>
                <w:sz w:val="16"/>
                <w:szCs w:val="22"/>
                <w:lang w:val="en-CA" w:eastAsia="zh-CN"/>
              </w:rPr>
            </w:pPr>
            <w:r w:rsidRPr="00AA62B7">
              <w:rPr>
                <w:rFonts w:ascii="Arial" w:eastAsia="Times New Roman" w:hAnsi="Arial" w:cs="Arial"/>
                <w:b/>
                <w:bCs/>
                <w:color w:val="000000"/>
                <w:sz w:val="16"/>
                <w:szCs w:val="22"/>
                <w:lang w:val="en-CA" w:eastAsia="zh-CN"/>
              </w:rPr>
              <w:t>Return on Equity</w:t>
            </w:r>
          </w:p>
        </w:tc>
        <w:tc>
          <w:tcPr>
            <w:tcW w:w="973" w:type="dxa"/>
            <w:shd w:val="clear" w:color="000000" w:fill="FFFFFF"/>
            <w:noWrap/>
            <w:vAlign w:val="bottom"/>
            <w:hideMark/>
          </w:tcPr>
          <w:p w14:paraId="07786039"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5.1%</w:t>
            </w:r>
          </w:p>
        </w:tc>
        <w:tc>
          <w:tcPr>
            <w:tcW w:w="973" w:type="dxa"/>
            <w:shd w:val="clear" w:color="000000" w:fill="FFFFFF"/>
            <w:noWrap/>
            <w:vAlign w:val="bottom"/>
            <w:hideMark/>
          </w:tcPr>
          <w:p w14:paraId="30101651"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7.3%</w:t>
            </w:r>
          </w:p>
        </w:tc>
        <w:tc>
          <w:tcPr>
            <w:tcW w:w="973" w:type="dxa"/>
            <w:shd w:val="clear" w:color="000000" w:fill="FFFFFF"/>
            <w:noWrap/>
            <w:vAlign w:val="bottom"/>
            <w:hideMark/>
          </w:tcPr>
          <w:p w14:paraId="7434F053"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8.0%</w:t>
            </w:r>
          </w:p>
        </w:tc>
        <w:tc>
          <w:tcPr>
            <w:tcW w:w="973" w:type="dxa"/>
            <w:shd w:val="clear" w:color="000000" w:fill="FFFFFF"/>
            <w:noWrap/>
            <w:vAlign w:val="bottom"/>
            <w:hideMark/>
          </w:tcPr>
          <w:p w14:paraId="2DF48442"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8.6%</w:t>
            </w:r>
          </w:p>
        </w:tc>
        <w:tc>
          <w:tcPr>
            <w:tcW w:w="973" w:type="dxa"/>
            <w:shd w:val="clear" w:color="000000" w:fill="FFFFFF"/>
            <w:noWrap/>
            <w:vAlign w:val="bottom"/>
            <w:hideMark/>
          </w:tcPr>
          <w:p w14:paraId="1882A53B"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9.1%</w:t>
            </w:r>
          </w:p>
        </w:tc>
        <w:tc>
          <w:tcPr>
            <w:tcW w:w="973" w:type="dxa"/>
            <w:shd w:val="clear" w:color="000000" w:fill="FFFFFF"/>
            <w:noWrap/>
            <w:vAlign w:val="bottom"/>
            <w:hideMark/>
          </w:tcPr>
          <w:p w14:paraId="67098653" w14:textId="77777777" w:rsidR="00AA62B7" w:rsidRPr="00AA62B7" w:rsidRDefault="00AA62B7" w:rsidP="00AA62B7">
            <w:pPr>
              <w:jc w:val="right"/>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9.5%</w:t>
            </w:r>
          </w:p>
        </w:tc>
      </w:tr>
      <w:tr w:rsidR="00AA62B7" w:rsidRPr="00AA62B7" w14:paraId="3DB983BB" w14:textId="77777777" w:rsidTr="00AA62B7">
        <w:trPr>
          <w:trHeight w:val="228"/>
        </w:trPr>
        <w:tc>
          <w:tcPr>
            <w:tcW w:w="1709" w:type="dxa"/>
            <w:shd w:val="clear" w:color="000000" w:fill="FFFFFF"/>
            <w:noWrap/>
            <w:vAlign w:val="bottom"/>
            <w:hideMark/>
          </w:tcPr>
          <w:p w14:paraId="1CD45A9F" w14:textId="1B217CCC" w:rsidR="00AA62B7" w:rsidRPr="00AA62B7" w:rsidRDefault="00AA62B7" w:rsidP="00AA62B7">
            <w:pPr>
              <w:rPr>
                <w:rFonts w:ascii="Arial" w:eastAsia="Times New Roman" w:hAnsi="Arial" w:cs="Arial"/>
                <w:b/>
                <w:bCs/>
                <w:color w:val="000000"/>
                <w:sz w:val="16"/>
                <w:szCs w:val="22"/>
                <w:lang w:val="en-CA" w:eastAsia="zh-CN"/>
              </w:rPr>
            </w:pPr>
            <w:r w:rsidRPr="00AA62B7">
              <w:rPr>
                <w:rFonts w:ascii="Arial" w:eastAsia="Times New Roman" w:hAnsi="Arial" w:cs="Arial"/>
                <w:b/>
                <w:bCs/>
                <w:color w:val="000000"/>
                <w:sz w:val="16"/>
                <w:szCs w:val="22"/>
                <w:lang w:val="en-CA" w:eastAsia="zh-CN"/>
              </w:rPr>
              <w:t xml:space="preserve">In </w:t>
            </w:r>
            <w:r w:rsidR="006271B4" w:rsidRPr="00AA62B7">
              <w:rPr>
                <w:rFonts w:ascii="Arial" w:eastAsia="Times New Roman" w:hAnsi="Arial" w:cs="Arial"/>
                <w:b/>
                <w:bCs/>
                <w:color w:val="000000"/>
                <w:sz w:val="16"/>
                <w:szCs w:val="22"/>
                <w:lang w:val="en-CA" w:eastAsia="zh-CN"/>
              </w:rPr>
              <w:t>Million</w:t>
            </w:r>
            <w:r w:rsidRPr="00AA62B7">
              <w:rPr>
                <w:rFonts w:ascii="Arial" w:eastAsia="Times New Roman" w:hAnsi="Arial" w:cs="Arial"/>
                <w:b/>
                <w:bCs/>
                <w:color w:val="000000"/>
                <w:sz w:val="16"/>
                <w:szCs w:val="22"/>
                <w:lang w:val="en-CA" w:eastAsia="zh-CN"/>
              </w:rPr>
              <w:t xml:space="preserve"> CAD</w:t>
            </w:r>
          </w:p>
        </w:tc>
        <w:tc>
          <w:tcPr>
            <w:tcW w:w="973" w:type="dxa"/>
            <w:shd w:val="clear" w:color="000000" w:fill="FFFFFF"/>
            <w:noWrap/>
            <w:vAlign w:val="bottom"/>
            <w:hideMark/>
          </w:tcPr>
          <w:p w14:paraId="19A53B57"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w:t>
            </w:r>
          </w:p>
        </w:tc>
        <w:tc>
          <w:tcPr>
            <w:tcW w:w="973" w:type="dxa"/>
            <w:shd w:val="clear" w:color="000000" w:fill="FFFFFF"/>
            <w:noWrap/>
            <w:vAlign w:val="bottom"/>
            <w:hideMark/>
          </w:tcPr>
          <w:p w14:paraId="72E22735"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w:t>
            </w:r>
          </w:p>
        </w:tc>
        <w:tc>
          <w:tcPr>
            <w:tcW w:w="973" w:type="dxa"/>
            <w:shd w:val="clear" w:color="000000" w:fill="FFFFFF"/>
            <w:noWrap/>
            <w:vAlign w:val="bottom"/>
            <w:hideMark/>
          </w:tcPr>
          <w:p w14:paraId="69071BB4"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w:t>
            </w:r>
          </w:p>
        </w:tc>
        <w:tc>
          <w:tcPr>
            <w:tcW w:w="973" w:type="dxa"/>
            <w:shd w:val="clear" w:color="000000" w:fill="FFFFFF"/>
            <w:noWrap/>
            <w:vAlign w:val="bottom"/>
            <w:hideMark/>
          </w:tcPr>
          <w:p w14:paraId="50BEC78B"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w:t>
            </w:r>
          </w:p>
        </w:tc>
        <w:tc>
          <w:tcPr>
            <w:tcW w:w="973" w:type="dxa"/>
            <w:shd w:val="clear" w:color="000000" w:fill="FFFFFF"/>
            <w:noWrap/>
            <w:vAlign w:val="bottom"/>
            <w:hideMark/>
          </w:tcPr>
          <w:p w14:paraId="41FA02B4"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w:t>
            </w:r>
          </w:p>
        </w:tc>
        <w:tc>
          <w:tcPr>
            <w:tcW w:w="973" w:type="dxa"/>
            <w:shd w:val="clear" w:color="000000" w:fill="FFFFFF"/>
            <w:noWrap/>
            <w:vAlign w:val="bottom"/>
            <w:hideMark/>
          </w:tcPr>
          <w:p w14:paraId="2F4679C0" w14:textId="77777777" w:rsidR="00AA62B7" w:rsidRPr="00AA62B7" w:rsidRDefault="00AA62B7" w:rsidP="00AA62B7">
            <w:pPr>
              <w:rPr>
                <w:rFonts w:ascii="Arial" w:eastAsia="Times New Roman" w:hAnsi="Arial" w:cs="Arial"/>
                <w:color w:val="000000"/>
                <w:sz w:val="16"/>
                <w:szCs w:val="22"/>
                <w:lang w:val="en-CA" w:eastAsia="zh-CN"/>
              </w:rPr>
            </w:pPr>
            <w:r w:rsidRPr="00AA62B7">
              <w:rPr>
                <w:rFonts w:ascii="Arial" w:eastAsia="Times New Roman" w:hAnsi="Arial" w:cs="Arial"/>
                <w:color w:val="000000"/>
                <w:sz w:val="16"/>
                <w:szCs w:val="22"/>
                <w:lang w:val="en-CA" w:eastAsia="zh-CN"/>
              </w:rPr>
              <w:t> </w:t>
            </w:r>
          </w:p>
        </w:tc>
      </w:tr>
    </w:tbl>
    <w:p w14:paraId="200CABDB" w14:textId="75D82E49" w:rsidR="00535519" w:rsidRDefault="006F1F2C" w:rsidP="00607493">
      <w:pPr>
        <w:tabs>
          <w:tab w:val="left" w:pos="4800"/>
        </w:tabs>
        <w:ind w:left="2880"/>
        <w:rPr>
          <w:rFonts w:ascii="Times New Roman" w:hAnsi="Times New Roman"/>
          <w:b/>
          <w:bCs/>
          <w:sz w:val="18"/>
        </w:rPr>
      </w:pPr>
      <w:r w:rsidRPr="00494D89">
        <w:rPr>
          <w:rFonts w:ascii="Times New Roman" w:hAnsi="Times New Roman"/>
          <w:b/>
          <w:bCs/>
          <w:noProof/>
          <w:lang w:val="en-CA" w:eastAsia="en-CA"/>
        </w:rPr>
        <mc:AlternateContent>
          <mc:Choice Requires="wps">
            <w:drawing>
              <wp:anchor distT="45720" distB="45720" distL="114300" distR="114300" simplePos="0" relativeHeight="251677184" behindDoc="0" locked="0" layoutInCell="1" allowOverlap="1" wp14:anchorId="72A3B37A" wp14:editId="20781DCB">
                <wp:simplePos x="0" y="0"/>
                <wp:positionH relativeFrom="page">
                  <wp:posOffset>28575</wp:posOffset>
                </wp:positionH>
                <wp:positionV relativeFrom="paragraph">
                  <wp:posOffset>141605</wp:posOffset>
                </wp:positionV>
                <wp:extent cx="2495550" cy="238125"/>
                <wp:effectExtent l="0" t="0" r="0" b="952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38125"/>
                        </a:xfrm>
                        <a:prstGeom prst="rect">
                          <a:avLst/>
                        </a:prstGeom>
                        <a:solidFill>
                          <a:srgbClr val="002060"/>
                        </a:solidFill>
                        <a:ln w="9525">
                          <a:noFill/>
                          <a:miter lim="800000"/>
                          <a:headEnd/>
                          <a:tailEnd/>
                        </a:ln>
                        <a:effectLst/>
                      </wps:spPr>
                      <wps:txbx>
                        <w:txbxContent>
                          <w:p w14:paraId="4AC7432D" w14:textId="4A80736F" w:rsidR="00412E12" w:rsidRPr="00494D89" w:rsidRDefault="00412E12" w:rsidP="00494D89">
                            <w:pPr>
                              <w:pBdr>
                                <w:bottom w:val="single" w:sz="4" w:space="1" w:color="auto"/>
                              </w:pBdr>
                              <w:jc w:val="center"/>
                              <w:rPr>
                                <w:b/>
                              </w:rPr>
                            </w:pPr>
                            <w:r w:rsidRPr="00494D89">
                              <w:rPr>
                                <w:b/>
                              </w:rPr>
                              <w:t>Market Profile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3B37A" id="_x0000_t202" coordsize="21600,21600" o:spt="202" path="m,l,21600r21600,l21600,xe">
                <v:stroke joinstyle="miter"/>
                <v:path gradientshapeok="t" o:connecttype="rect"/>
              </v:shapetype>
              <v:shape id="Text Box 2" o:spid="_x0000_s1028" type="#_x0000_t202" style="position:absolute;left:0;text-align:left;margin-left:2.25pt;margin-top:11.15pt;width:196.5pt;height:18.75pt;z-index:251677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NPKwIAADEEAAAOAAAAZHJzL2Uyb0RvYy54bWysU9tu2zAMfR+wfxD0vtjx4jQx4hRdug4D&#10;ugvQ7gNkWY6FSaImKbG7ry8lp1m2vQ3zgyGK5CF5eLS5HrUiR+G8BFPT+SynRBgOrTT7mn57vHuz&#10;osQHZlqmwIiaPglPr7evX20GW4kCelCtcARBjK8GW9M+BFtlmee90MzPwAqDzg6cZgFNt89axwZE&#10;1yor8nyZDeBa64AL7/H2dnLSbcLvOsHDl67zIhBVU+wtpL9L/yb+s+2GVXvHbC/5qQ32D11oJg0W&#10;PUPdssDIwcm/oLTkDjx0YcZBZ9B1kos0A04zz/+Y5qFnVqRZkBxvzzT5/wfLPx+/OiLbmi6vKDFM&#10;444exRjIOxhJEekZrK8w6sFiXBjxGtecRvX2Hvh3Twzsemb24sY5GHrBWmxvHjOzi9QJx0eQZvgE&#10;LZZhhwAJaOycjtwhGwTRcU1P59XEVjheFot1WZbo4ugr3q7mRZlKsOol2zofPgjQJB5q6nD1CZ0d&#10;732I3bDqJSQW86BkeyeVSobbNzvlyJFFmeRFvkzKwJTfwpQhQ03XJdaOWQZiflKQlgFlrKSu6SqP&#10;3ySsyMZ706aQwKSazgirTAQQSaCn9iJZkZ+JqTA2Y1rLeQcNtE/InoNJw/jm8NCD+0nJgPqtqf9x&#10;YE5Qoj4a3MB6vlhEwSdjUV4VaLhLT3PpYYYjVE0DJdNxF9Ijmca8wU11MpEYu5w6Oe0XdZm4Pb2h&#10;KPxLO0X9eunbZwAAAP//AwBQSwMEFAAGAAgAAAAhAEKW1xzdAAAABwEAAA8AAABkcnMvZG93bnJl&#10;di54bWxMjsFOwzAQRO9I/IO1SNyoQ9pCE+JUgFSJG2qpENxcZ0mixOtgu034e7YnOO7M6O0r1pPt&#10;xQl9aB0puJ0lIJCMq1qqFezfNjcrECFqqnTvCBX8YIB1eXlR6LxyI23xtIu1YAiFXCtoYhxyKYNp&#10;0OowcwMSd1/OWx359LWsvB4ZbnuZJsmdtLol/tDoAZ8bNN3uaJmyMN+v2715+Xz/GDPfdWbz5I1S&#10;11fT4wOIiFP8G8NZn9WhZKeDO1IVRK9gseShgjSdg+B6nt1zcFCwzFYgy0L+9y9/AQAA//8DAFBL&#10;AQItABQABgAIAAAAIQC2gziS/gAAAOEBAAATAAAAAAAAAAAAAAAAAAAAAABbQ29udGVudF9UeXBl&#10;c10ueG1sUEsBAi0AFAAGAAgAAAAhADj9If/WAAAAlAEAAAsAAAAAAAAAAAAAAAAALwEAAF9yZWxz&#10;Ly5yZWxzUEsBAi0AFAAGAAgAAAAhAO1U408rAgAAMQQAAA4AAAAAAAAAAAAAAAAALgIAAGRycy9l&#10;Mm9Eb2MueG1sUEsBAi0AFAAGAAgAAAAhAEKW1xzdAAAABwEAAA8AAAAAAAAAAAAAAAAAhQQAAGRy&#10;cy9kb3ducmV2LnhtbFBLBQYAAAAABAAEAPMAAACPBQAAAAA=&#10;" fillcolor="#002060" stroked="f">
                <v:textbox>
                  <w:txbxContent>
                    <w:p w14:paraId="4AC7432D" w14:textId="4A80736F" w:rsidR="00412E12" w:rsidRPr="00494D89" w:rsidRDefault="00412E12" w:rsidP="00494D89">
                      <w:pPr>
                        <w:pBdr>
                          <w:bottom w:val="single" w:sz="4" w:space="1" w:color="auto"/>
                        </w:pBdr>
                        <w:jc w:val="center"/>
                        <w:rPr>
                          <w:b/>
                        </w:rPr>
                      </w:pPr>
                      <w:r w:rsidRPr="00494D89">
                        <w:rPr>
                          <w:b/>
                        </w:rPr>
                        <w:t>Market Profile</w:t>
                      </w:r>
                    </w:p>
                  </w:txbxContent>
                </v:textbox>
                <w10:wrap anchorx="page"/>
              </v:shape>
            </w:pict>
          </mc:Fallback>
        </mc:AlternateContent>
      </w:r>
      <w:r>
        <w:rPr>
          <w:rFonts w:ascii="Times New Roman" w:hAnsi="Times New Roman"/>
          <w:noProof/>
          <w:lang w:val="en-CA" w:eastAsia="en-CA"/>
        </w:rPr>
        <mc:AlternateContent>
          <mc:Choice Requires="wps">
            <w:drawing>
              <wp:anchor distT="0" distB="0" distL="114300" distR="114300" simplePos="0" relativeHeight="251679232" behindDoc="1" locked="0" layoutInCell="1" allowOverlap="1" wp14:anchorId="753E4CFC" wp14:editId="32E5FA84">
                <wp:simplePos x="0" y="0"/>
                <wp:positionH relativeFrom="column">
                  <wp:posOffset>-655320</wp:posOffset>
                </wp:positionH>
                <wp:positionV relativeFrom="paragraph">
                  <wp:posOffset>141605</wp:posOffset>
                </wp:positionV>
                <wp:extent cx="2476500" cy="8058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0" cy="805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541F3" id="Rectangle 4" o:spid="_x0000_s1026" style="position:absolute;margin-left:-51.6pt;margin-top:11.15pt;width:195pt;height:63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PbeQIAAEUFAAAOAAAAZHJzL2Uyb0RvYy54bWysVE1v2zAMvQ/YfxB0X+0EST+COkXQosOA&#10;oi3aDj2rshQbkESNUuJkv36U7LhFW+ww7CJLIvlIPj/q/GJnDdsqDC24ik+OSs6Uk1C3bl3xn0/X&#10;3045C1G4WhhwquJ7FfjF8uuX884v1BQaMLVCRiAuLDpf8SZGvyiKIBtlRTgCrxwZNaAVkY64LmoU&#10;HaFbU0zL8rjoAGuPIFUIdHvVG/ky42utZLzTOqjITMWptphXzOtLWovluVisUfimlUMZ4h+qsKJ1&#10;lHSEuhJRsA22H6BsKxEC6HgkwRagdStV7oG6mZTvunlshFe5FyIn+JGm8P9g5e32HllbV3zGmROW&#10;ftEDkSbc2ig2S/R0PizI69Hf43AKtE297jTa9KUu2C5Tuh8pVbvIJF1OZyfH85KYl2Q7Leenk3km&#10;vXgN9xjidwWWpU3FkdJnKsX2JkRKSa4Hl5TNwXVrTLpPlfW15F3cG5UcjHtQmlpK2TNQFpO6NMi2&#10;gmQgpFQuTnpTI2rVX1OVVGefb4zI2TNgQtaUeMQeAJJQP2L3MIN/ClVZi2Nw+bfC+uAxImcGF8dg&#10;2zrAzwAMdTVk7v0PJPXUJJZeoN7TD0foJyF4ed0S7TcixHuBJH36VTTO8Y4WbaCrOAw7zhrA35/d&#10;J39SJFk562iUKh5+bQQqzswPR1o9m8xmafbyYTY/mdIB31pe3lrcxl4C/aYJPRxe5m3yj+aw1Qj2&#10;maZ+lbKSSThJuSsuIx4Ol7EfcXo3pFqtshvNmxfxxj16mcATq0lWT7tngX7QXiTZ3sJh7MTinQR7&#10;3xTpYLWJoNusz1deB75pVrNwhnclPQZvz9nr9fVb/gEAAP//AwBQSwMEFAAGAAgAAAAhABGC0/Hi&#10;AAAADAEAAA8AAABkcnMvZG93bnJldi54bWxMj01Lw0AQhu+C/2EZwVu7yQZKjdmUWvDkB6TRQm/b&#10;ZEyi2dmQ3bbRX+/0pMdhHt73ebPVZHtxwtF3jjTE8wgEUuXqjhoNb+XjbAnCB0O16R2hhm/0sMqv&#10;rzKT1u5MBZ62oREcQj41GtoQhlRKX7VojZ+7AYl/H260JvA5NrIezZnDbS9VFC2kNR1xQ2sG3LRY&#10;fW2PVgO+7z6Ln/1T9fpcrV1Bm1A+lC9a395M63sQAafwB8NFn9UhZ6eDO1LtRa9hFkeJYlaDUgkI&#10;JtRywWMOjKq7OAGZZ/L/iPwXAAD//wMAUEsBAi0AFAAGAAgAAAAhALaDOJL+AAAA4QEAABMAAAAA&#10;AAAAAAAAAAAAAAAAAFtDb250ZW50X1R5cGVzXS54bWxQSwECLQAUAAYACAAAACEAOP0h/9YAAACU&#10;AQAACwAAAAAAAAAAAAAAAAAvAQAAX3JlbHMvLnJlbHNQSwECLQAUAAYACAAAACEABN+T23kCAABF&#10;BQAADgAAAAAAAAAAAAAAAAAuAgAAZHJzL2Uyb0RvYy54bWxQSwECLQAUAAYACAAAACEAEYLT8eIA&#10;AAAMAQAADwAAAAAAAAAAAAAAAADTBAAAZHJzL2Rvd25yZXYueG1sUEsFBgAAAAAEAAQA8wAAAOIF&#10;AAAAAA==&#10;" filled="f" strokecolor="#243f60 [1604]" strokeweight="2pt"/>
            </w:pict>
          </mc:Fallback>
        </mc:AlternateContent>
      </w:r>
      <w:r w:rsidR="00607493">
        <w:rPr>
          <w:rFonts w:ascii="Times New Roman" w:hAnsi="Times New Roman"/>
          <w:b/>
          <w:bCs/>
          <w:sz w:val="18"/>
        </w:rPr>
        <w:tab/>
      </w:r>
    </w:p>
    <w:tbl>
      <w:tblPr>
        <w:tblpPr w:leftFromText="180" w:rightFromText="180" w:vertAnchor="text" w:horzAnchor="page" w:tblpX="151" w:tblpY="393"/>
        <w:tblW w:w="3805" w:type="dxa"/>
        <w:tblLook w:val="04A0" w:firstRow="1" w:lastRow="0" w:firstColumn="1" w:lastColumn="0" w:noHBand="0" w:noVBand="1"/>
      </w:tblPr>
      <w:tblGrid>
        <w:gridCol w:w="2015"/>
        <w:gridCol w:w="1790"/>
      </w:tblGrid>
      <w:tr w:rsidR="00CA6DC3" w:rsidRPr="007B370C" w14:paraId="46571606"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6AA82A62"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Closing Price</w:t>
            </w:r>
          </w:p>
        </w:tc>
        <w:tc>
          <w:tcPr>
            <w:tcW w:w="1790" w:type="dxa"/>
            <w:tcBorders>
              <w:top w:val="nil"/>
              <w:left w:val="nil"/>
              <w:bottom w:val="single" w:sz="4" w:space="0" w:color="auto"/>
              <w:right w:val="nil"/>
            </w:tcBorders>
            <w:shd w:val="clear" w:color="auto" w:fill="auto"/>
            <w:noWrap/>
            <w:vAlign w:val="center"/>
            <w:hideMark/>
          </w:tcPr>
          <w:p w14:paraId="506ED10F" w14:textId="1C35B846" w:rsidR="00CA6DC3" w:rsidRPr="007B370C" w:rsidRDefault="00CA6DC3" w:rsidP="00607493">
            <w:pPr>
              <w:rPr>
                <w:rFonts w:ascii="Arial" w:eastAsia="Times New Roman" w:hAnsi="Arial" w:cs="Arial"/>
                <w:sz w:val="16"/>
                <w:szCs w:val="16"/>
              </w:rPr>
            </w:pPr>
            <w:r w:rsidRPr="007B370C">
              <w:rPr>
                <w:rFonts w:ascii="Arial" w:eastAsia="Times New Roman" w:hAnsi="Arial" w:cs="Arial"/>
                <w:sz w:val="16"/>
                <w:szCs w:val="16"/>
              </w:rPr>
              <w:t xml:space="preserve"> $             </w:t>
            </w:r>
            <w:r w:rsidR="00607493">
              <w:rPr>
                <w:rFonts w:ascii="Arial" w:eastAsia="Times New Roman" w:hAnsi="Arial" w:cs="Arial"/>
                <w:sz w:val="16"/>
                <w:szCs w:val="16"/>
              </w:rPr>
              <w:t>23.17</w:t>
            </w:r>
          </w:p>
        </w:tc>
      </w:tr>
      <w:tr w:rsidR="00CA6DC3" w:rsidRPr="007B370C" w14:paraId="0E61F5A1"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15F4BB66"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52-Week High/Low</w:t>
            </w:r>
          </w:p>
        </w:tc>
        <w:tc>
          <w:tcPr>
            <w:tcW w:w="1790" w:type="dxa"/>
            <w:tcBorders>
              <w:top w:val="nil"/>
              <w:left w:val="nil"/>
              <w:bottom w:val="single" w:sz="4" w:space="0" w:color="auto"/>
              <w:right w:val="nil"/>
            </w:tcBorders>
            <w:shd w:val="clear" w:color="auto" w:fill="auto"/>
            <w:noWrap/>
            <w:vAlign w:val="center"/>
            <w:hideMark/>
          </w:tcPr>
          <w:p w14:paraId="68C5FC03" w14:textId="77777777" w:rsidR="00CA6DC3" w:rsidRPr="007B370C" w:rsidRDefault="00CA6DC3" w:rsidP="00CA6DC3">
            <w:pPr>
              <w:jc w:val="right"/>
              <w:rPr>
                <w:rFonts w:ascii="Arial" w:eastAsia="Times New Roman" w:hAnsi="Arial" w:cs="Arial"/>
                <w:sz w:val="16"/>
                <w:szCs w:val="16"/>
              </w:rPr>
            </w:pPr>
            <w:r w:rsidRPr="007B370C">
              <w:rPr>
                <w:rFonts w:ascii="Arial" w:eastAsia="Times New Roman" w:hAnsi="Arial" w:cs="Arial"/>
                <w:sz w:val="16"/>
                <w:szCs w:val="16"/>
              </w:rPr>
              <w:t>$17.67-$25.37</w:t>
            </w:r>
          </w:p>
        </w:tc>
      </w:tr>
      <w:tr w:rsidR="00CA6DC3" w:rsidRPr="007B370C" w14:paraId="72E665E8"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5F18E299"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Average Volume</w:t>
            </w:r>
          </w:p>
        </w:tc>
        <w:tc>
          <w:tcPr>
            <w:tcW w:w="1790" w:type="dxa"/>
            <w:tcBorders>
              <w:top w:val="nil"/>
              <w:left w:val="nil"/>
              <w:bottom w:val="single" w:sz="4" w:space="0" w:color="auto"/>
              <w:right w:val="nil"/>
            </w:tcBorders>
            <w:shd w:val="clear" w:color="auto" w:fill="auto"/>
            <w:noWrap/>
            <w:vAlign w:val="center"/>
            <w:hideMark/>
          </w:tcPr>
          <w:p w14:paraId="58BA01DD" w14:textId="77777777" w:rsidR="00CA6DC3" w:rsidRPr="007B370C" w:rsidRDefault="00CA6DC3" w:rsidP="00CA6DC3">
            <w:pPr>
              <w:spacing w:line="480" w:lineRule="auto"/>
              <w:jc w:val="right"/>
              <w:rPr>
                <w:rFonts w:ascii="Arial" w:eastAsia="Times New Roman" w:hAnsi="Arial" w:cs="Arial"/>
                <w:sz w:val="16"/>
                <w:szCs w:val="16"/>
              </w:rPr>
            </w:pPr>
            <w:r w:rsidRPr="007B370C">
              <w:rPr>
                <w:rFonts w:ascii="Arial" w:eastAsia="Times New Roman" w:hAnsi="Arial" w:cs="Arial"/>
                <w:sz w:val="16"/>
                <w:szCs w:val="16"/>
              </w:rPr>
              <w:t>40.78 Millions</w:t>
            </w:r>
          </w:p>
        </w:tc>
      </w:tr>
      <w:tr w:rsidR="00CA6DC3" w:rsidRPr="007B370C" w14:paraId="1359D264"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0BE06155"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Diluted Shares Out</w:t>
            </w:r>
          </w:p>
        </w:tc>
        <w:tc>
          <w:tcPr>
            <w:tcW w:w="1790" w:type="dxa"/>
            <w:tcBorders>
              <w:top w:val="nil"/>
              <w:left w:val="nil"/>
              <w:bottom w:val="single" w:sz="4" w:space="0" w:color="auto"/>
              <w:right w:val="nil"/>
            </w:tcBorders>
            <w:shd w:val="clear" w:color="auto" w:fill="auto"/>
            <w:noWrap/>
            <w:vAlign w:val="center"/>
            <w:hideMark/>
          </w:tcPr>
          <w:p w14:paraId="3A02AAA8" w14:textId="77777777" w:rsidR="00CA6DC3" w:rsidRPr="007B370C" w:rsidRDefault="00CA6DC3" w:rsidP="00CA6DC3">
            <w:pPr>
              <w:jc w:val="right"/>
              <w:rPr>
                <w:rFonts w:ascii="Arial" w:eastAsia="Times New Roman" w:hAnsi="Arial" w:cs="Arial"/>
                <w:sz w:val="16"/>
                <w:szCs w:val="16"/>
              </w:rPr>
            </w:pPr>
            <w:r w:rsidRPr="007B370C">
              <w:rPr>
                <w:rFonts w:ascii="Arial" w:eastAsia="Times New Roman" w:hAnsi="Arial" w:cs="Arial"/>
                <w:sz w:val="16"/>
                <w:szCs w:val="16"/>
              </w:rPr>
              <w:t>38.15 Millions</w:t>
            </w:r>
          </w:p>
        </w:tc>
      </w:tr>
      <w:tr w:rsidR="00CA6DC3" w:rsidRPr="007B370C" w14:paraId="028529B6"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77E8F442"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Market Cap</w:t>
            </w:r>
          </w:p>
        </w:tc>
        <w:tc>
          <w:tcPr>
            <w:tcW w:w="1790" w:type="dxa"/>
            <w:tcBorders>
              <w:top w:val="nil"/>
              <w:left w:val="nil"/>
              <w:bottom w:val="single" w:sz="4" w:space="0" w:color="auto"/>
              <w:right w:val="nil"/>
            </w:tcBorders>
            <w:shd w:val="clear" w:color="auto" w:fill="auto"/>
            <w:noWrap/>
            <w:vAlign w:val="center"/>
            <w:hideMark/>
          </w:tcPr>
          <w:p w14:paraId="3EEF6F14" w14:textId="77777777" w:rsidR="00CA6DC3" w:rsidRPr="007B370C" w:rsidRDefault="00CA6DC3" w:rsidP="00CA6DC3">
            <w:pPr>
              <w:jc w:val="right"/>
              <w:rPr>
                <w:rFonts w:ascii="Arial" w:eastAsia="Times New Roman" w:hAnsi="Arial" w:cs="Arial"/>
                <w:sz w:val="16"/>
                <w:szCs w:val="16"/>
              </w:rPr>
            </w:pPr>
            <w:r w:rsidRPr="007B370C">
              <w:rPr>
                <w:rFonts w:ascii="Arial" w:eastAsia="Times New Roman" w:hAnsi="Arial" w:cs="Arial"/>
                <w:sz w:val="16"/>
                <w:szCs w:val="16"/>
              </w:rPr>
              <w:t>882.07 Millions</w:t>
            </w:r>
          </w:p>
        </w:tc>
      </w:tr>
      <w:tr w:rsidR="00CA6DC3" w:rsidRPr="007B370C" w14:paraId="21F340A5"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499DDD9E"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Dividend Yield</w:t>
            </w:r>
          </w:p>
        </w:tc>
        <w:tc>
          <w:tcPr>
            <w:tcW w:w="1790" w:type="dxa"/>
            <w:tcBorders>
              <w:top w:val="nil"/>
              <w:left w:val="nil"/>
              <w:bottom w:val="single" w:sz="4" w:space="0" w:color="auto"/>
              <w:right w:val="nil"/>
            </w:tcBorders>
            <w:shd w:val="clear" w:color="auto" w:fill="auto"/>
            <w:noWrap/>
            <w:vAlign w:val="center"/>
            <w:hideMark/>
          </w:tcPr>
          <w:p w14:paraId="484BE093" w14:textId="77777777" w:rsidR="00CA6DC3" w:rsidRPr="007B370C" w:rsidRDefault="00CA6DC3" w:rsidP="00CA6DC3">
            <w:pPr>
              <w:jc w:val="right"/>
              <w:rPr>
                <w:rFonts w:ascii="Arial" w:eastAsia="Times New Roman" w:hAnsi="Arial" w:cs="Arial"/>
                <w:sz w:val="16"/>
                <w:szCs w:val="16"/>
              </w:rPr>
            </w:pPr>
            <w:r w:rsidRPr="007B370C">
              <w:rPr>
                <w:rFonts w:ascii="Arial" w:eastAsia="Times New Roman" w:hAnsi="Arial" w:cs="Arial"/>
                <w:sz w:val="16"/>
                <w:szCs w:val="16"/>
              </w:rPr>
              <w:t>4.35%</w:t>
            </w:r>
          </w:p>
        </w:tc>
      </w:tr>
      <w:tr w:rsidR="00CA6DC3" w:rsidRPr="007B370C" w14:paraId="1E9D7031"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0C03BA3C"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Beta</w:t>
            </w:r>
          </w:p>
        </w:tc>
        <w:tc>
          <w:tcPr>
            <w:tcW w:w="1790" w:type="dxa"/>
            <w:tcBorders>
              <w:top w:val="nil"/>
              <w:left w:val="nil"/>
              <w:bottom w:val="single" w:sz="4" w:space="0" w:color="auto"/>
              <w:right w:val="nil"/>
            </w:tcBorders>
            <w:shd w:val="clear" w:color="auto" w:fill="auto"/>
            <w:noWrap/>
            <w:vAlign w:val="center"/>
            <w:hideMark/>
          </w:tcPr>
          <w:p w14:paraId="060C3D6F" w14:textId="77777777" w:rsidR="00CA6DC3" w:rsidRPr="007B370C" w:rsidRDefault="00CA6DC3" w:rsidP="00CA6DC3">
            <w:pPr>
              <w:jc w:val="right"/>
              <w:rPr>
                <w:rFonts w:ascii="Arial" w:eastAsia="Times New Roman" w:hAnsi="Arial" w:cs="Arial"/>
                <w:sz w:val="16"/>
                <w:szCs w:val="16"/>
              </w:rPr>
            </w:pPr>
            <w:r w:rsidRPr="007B370C">
              <w:rPr>
                <w:rFonts w:ascii="Arial" w:eastAsia="Times New Roman" w:hAnsi="Arial" w:cs="Arial"/>
                <w:sz w:val="16"/>
                <w:szCs w:val="16"/>
              </w:rPr>
              <w:t>0.6</w:t>
            </w:r>
          </w:p>
        </w:tc>
      </w:tr>
      <w:tr w:rsidR="00CA6DC3" w:rsidRPr="007B370C" w14:paraId="1626C611"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18E5C95E"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EV/Revenue</w:t>
            </w:r>
          </w:p>
        </w:tc>
        <w:tc>
          <w:tcPr>
            <w:tcW w:w="1790" w:type="dxa"/>
            <w:tcBorders>
              <w:top w:val="nil"/>
              <w:left w:val="nil"/>
              <w:bottom w:val="single" w:sz="4" w:space="0" w:color="auto"/>
              <w:right w:val="nil"/>
            </w:tcBorders>
            <w:shd w:val="clear" w:color="auto" w:fill="auto"/>
            <w:noWrap/>
            <w:vAlign w:val="center"/>
            <w:hideMark/>
          </w:tcPr>
          <w:p w14:paraId="426ACC27" w14:textId="77777777" w:rsidR="00CA6DC3" w:rsidRPr="007B370C" w:rsidRDefault="00CA6DC3" w:rsidP="00CA6DC3">
            <w:pPr>
              <w:jc w:val="right"/>
              <w:rPr>
                <w:rFonts w:ascii="Arial" w:eastAsia="Times New Roman" w:hAnsi="Arial" w:cs="Arial"/>
                <w:sz w:val="16"/>
                <w:szCs w:val="16"/>
              </w:rPr>
            </w:pPr>
            <w:r w:rsidRPr="007B370C">
              <w:rPr>
                <w:rFonts w:ascii="Arial" w:eastAsia="Times New Roman" w:hAnsi="Arial" w:cs="Arial"/>
                <w:sz w:val="16"/>
                <w:szCs w:val="16"/>
              </w:rPr>
              <w:t>4.46</w:t>
            </w:r>
          </w:p>
        </w:tc>
      </w:tr>
      <w:tr w:rsidR="00CA6DC3" w:rsidRPr="007B370C" w14:paraId="1BED9C26"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6889421B"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EV/EBITDA</w:t>
            </w:r>
          </w:p>
        </w:tc>
        <w:tc>
          <w:tcPr>
            <w:tcW w:w="1790" w:type="dxa"/>
            <w:tcBorders>
              <w:top w:val="nil"/>
              <w:left w:val="nil"/>
              <w:bottom w:val="single" w:sz="4" w:space="0" w:color="auto"/>
              <w:right w:val="nil"/>
            </w:tcBorders>
            <w:shd w:val="clear" w:color="auto" w:fill="auto"/>
            <w:noWrap/>
            <w:vAlign w:val="center"/>
            <w:hideMark/>
          </w:tcPr>
          <w:p w14:paraId="74B9EE08" w14:textId="77777777" w:rsidR="00CA6DC3" w:rsidRPr="007B370C" w:rsidRDefault="00CA6DC3" w:rsidP="00CA6DC3">
            <w:pPr>
              <w:jc w:val="right"/>
              <w:rPr>
                <w:rFonts w:ascii="Arial" w:eastAsia="Times New Roman" w:hAnsi="Arial" w:cs="Arial"/>
                <w:sz w:val="16"/>
                <w:szCs w:val="16"/>
              </w:rPr>
            </w:pPr>
            <w:r w:rsidRPr="007B370C">
              <w:rPr>
                <w:rFonts w:ascii="Arial" w:eastAsia="Times New Roman" w:hAnsi="Arial" w:cs="Arial"/>
                <w:sz w:val="16"/>
                <w:szCs w:val="16"/>
              </w:rPr>
              <w:t>12.37</w:t>
            </w:r>
          </w:p>
        </w:tc>
      </w:tr>
      <w:tr w:rsidR="00CA6DC3" w:rsidRPr="007B370C" w14:paraId="61FE09D9" w14:textId="77777777" w:rsidTr="00CA6DC3">
        <w:trPr>
          <w:trHeight w:val="638"/>
        </w:trPr>
        <w:tc>
          <w:tcPr>
            <w:tcW w:w="2015" w:type="dxa"/>
            <w:tcBorders>
              <w:top w:val="nil"/>
              <w:left w:val="nil"/>
              <w:bottom w:val="single" w:sz="4" w:space="0" w:color="auto"/>
              <w:right w:val="nil"/>
            </w:tcBorders>
            <w:shd w:val="clear" w:color="auto" w:fill="auto"/>
            <w:noWrap/>
            <w:vAlign w:val="center"/>
            <w:hideMark/>
          </w:tcPr>
          <w:p w14:paraId="058C1F5F"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Institutional Holdings</w:t>
            </w:r>
          </w:p>
        </w:tc>
        <w:tc>
          <w:tcPr>
            <w:tcW w:w="1790" w:type="dxa"/>
            <w:tcBorders>
              <w:top w:val="nil"/>
              <w:left w:val="nil"/>
              <w:bottom w:val="single" w:sz="4" w:space="0" w:color="auto"/>
              <w:right w:val="nil"/>
            </w:tcBorders>
            <w:shd w:val="clear" w:color="auto" w:fill="auto"/>
            <w:noWrap/>
            <w:vAlign w:val="center"/>
            <w:hideMark/>
          </w:tcPr>
          <w:p w14:paraId="6B9C3083" w14:textId="77777777" w:rsidR="00CA6DC3" w:rsidRPr="007B370C" w:rsidRDefault="00CA6DC3" w:rsidP="00CA6DC3">
            <w:pPr>
              <w:jc w:val="right"/>
              <w:rPr>
                <w:rFonts w:ascii="Arial" w:eastAsia="Times New Roman" w:hAnsi="Arial" w:cs="Arial"/>
                <w:sz w:val="16"/>
                <w:szCs w:val="16"/>
              </w:rPr>
            </w:pPr>
            <w:r w:rsidRPr="007B370C">
              <w:rPr>
                <w:rFonts w:ascii="Arial" w:eastAsia="Times New Roman" w:hAnsi="Arial" w:cs="Arial"/>
                <w:sz w:val="16"/>
                <w:szCs w:val="16"/>
              </w:rPr>
              <w:t>75.54%</w:t>
            </w:r>
          </w:p>
        </w:tc>
      </w:tr>
      <w:tr w:rsidR="00CA6DC3" w:rsidRPr="007B370C" w14:paraId="457CA598" w14:textId="77777777" w:rsidTr="00CA6DC3">
        <w:trPr>
          <w:trHeight w:val="638"/>
        </w:trPr>
        <w:tc>
          <w:tcPr>
            <w:tcW w:w="2015" w:type="dxa"/>
            <w:tcBorders>
              <w:top w:val="nil"/>
              <w:left w:val="nil"/>
              <w:bottom w:val="nil"/>
              <w:right w:val="nil"/>
            </w:tcBorders>
            <w:shd w:val="clear" w:color="auto" w:fill="auto"/>
            <w:noWrap/>
            <w:vAlign w:val="center"/>
            <w:hideMark/>
          </w:tcPr>
          <w:p w14:paraId="69CCB833" w14:textId="77777777" w:rsidR="00CA6DC3" w:rsidRPr="007B370C" w:rsidRDefault="00CA6DC3" w:rsidP="00CA6DC3">
            <w:pPr>
              <w:rPr>
                <w:rFonts w:ascii="Arial" w:eastAsia="Times New Roman" w:hAnsi="Arial" w:cs="Arial"/>
                <w:b/>
                <w:bCs/>
                <w:sz w:val="16"/>
                <w:szCs w:val="16"/>
              </w:rPr>
            </w:pPr>
            <w:r w:rsidRPr="007B370C">
              <w:rPr>
                <w:rFonts w:ascii="Arial" w:eastAsia="Times New Roman" w:hAnsi="Arial" w:cs="Arial"/>
                <w:b/>
                <w:bCs/>
                <w:sz w:val="16"/>
                <w:szCs w:val="16"/>
              </w:rPr>
              <w:t>Insider Holdings</w:t>
            </w:r>
          </w:p>
        </w:tc>
        <w:tc>
          <w:tcPr>
            <w:tcW w:w="1790" w:type="dxa"/>
            <w:tcBorders>
              <w:top w:val="nil"/>
              <w:left w:val="nil"/>
              <w:bottom w:val="nil"/>
              <w:right w:val="nil"/>
            </w:tcBorders>
            <w:shd w:val="clear" w:color="auto" w:fill="auto"/>
            <w:noWrap/>
            <w:vAlign w:val="center"/>
            <w:hideMark/>
          </w:tcPr>
          <w:p w14:paraId="6DC36BB8" w14:textId="77777777" w:rsidR="00CA6DC3" w:rsidRDefault="00CA6DC3" w:rsidP="00CA6DC3">
            <w:pPr>
              <w:spacing w:line="276" w:lineRule="auto"/>
              <w:jc w:val="right"/>
              <w:rPr>
                <w:rFonts w:ascii="Arial" w:eastAsia="Times New Roman" w:hAnsi="Arial" w:cs="Arial"/>
                <w:sz w:val="16"/>
                <w:szCs w:val="16"/>
              </w:rPr>
            </w:pPr>
          </w:p>
          <w:p w14:paraId="7D0860F6" w14:textId="77777777" w:rsidR="00CA6DC3" w:rsidRPr="007B370C" w:rsidRDefault="00CA6DC3" w:rsidP="00CA6DC3">
            <w:pPr>
              <w:spacing w:line="276" w:lineRule="auto"/>
              <w:ind w:right="80"/>
              <w:jc w:val="right"/>
              <w:rPr>
                <w:rFonts w:ascii="Arial" w:eastAsia="Times New Roman" w:hAnsi="Arial" w:cs="Arial"/>
                <w:sz w:val="16"/>
                <w:szCs w:val="16"/>
              </w:rPr>
            </w:pPr>
            <w:r>
              <w:rPr>
                <w:noProof/>
                <w:lang w:val="en-CA" w:eastAsia="en-CA"/>
              </w:rPr>
              <w:drawing>
                <wp:anchor distT="0" distB="0" distL="114300" distR="114300" simplePos="0" relativeHeight="251681280" behindDoc="0" locked="0" layoutInCell="1" allowOverlap="1" wp14:anchorId="59E9852B" wp14:editId="4EFC5ECE">
                  <wp:simplePos x="0" y="0"/>
                  <wp:positionH relativeFrom="page">
                    <wp:posOffset>-1352550</wp:posOffset>
                  </wp:positionH>
                  <wp:positionV relativeFrom="paragraph">
                    <wp:posOffset>296545</wp:posOffset>
                  </wp:positionV>
                  <wp:extent cx="2486025" cy="3362325"/>
                  <wp:effectExtent l="0" t="0" r="0" b="0"/>
                  <wp:wrapNone/>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7B370C">
              <w:rPr>
                <w:rFonts w:ascii="Arial" w:eastAsia="Times New Roman" w:hAnsi="Arial" w:cs="Arial"/>
                <w:sz w:val="16"/>
                <w:szCs w:val="16"/>
              </w:rPr>
              <w:t>0.48%</w:t>
            </w:r>
          </w:p>
        </w:tc>
      </w:tr>
    </w:tbl>
    <w:p w14:paraId="2129AB88" w14:textId="15F04BC8" w:rsidR="00535519" w:rsidRPr="00607493" w:rsidRDefault="00535519" w:rsidP="006F1F2C">
      <w:pPr>
        <w:pStyle w:val="ListBullet"/>
        <w:ind w:left="3175" w:firstLine="0"/>
        <w:jc w:val="both"/>
        <w:rPr>
          <w:rFonts w:ascii="Times New Roman" w:hAnsi="Times New Roman"/>
        </w:rPr>
      </w:pPr>
      <w:r w:rsidRPr="00607493">
        <w:rPr>
          <w:rFonts w:ascii="Times New Roman" w:hAnsi="Times New Roman"/>
          <w:b/>
          <w:bCs/>
        </w:rPr>
        <w:t xml:space="preserve">More Destination Visitors:  </w:t>
      </w:r>
      <w:r w:rsidRPr="00607493">
        <w:rPr>
          <w:rFonts w:ascii="Times New Roman" w:hAnsi="Times New Roman"/>
        </w:rPr>
        <w:t>Whistler is currently see</w:t>
      </w:r>
      <w:r w:rsidR="00917259" w:rsidRPr="00607493">
        <w:rPr>
          <w:rFonts w:ascii="Times New Roman" w:hAnsi="Times New Roman"/>
        </w:rPr>
        <w:t>ing</w:t>
      </w:r>
      <w:r w:rsidRPr="00607493">
        <w:rPr>
          <w:rFonts w:ascii="Times New Roman" w:hAnsi="Times New Roman"/>
        </w:rPr>
        <w:t xml:space="preserve"> a large influx of international, destination savings and marginal benefits they receive skiing in Whistler and spending Canadian dollars.</w:t>
      </w:r>
    </w:p>
    <w:p w14:paraId="40D95A02" w14:textId="1D87C685" w:rsidR="00535519" w:rsidRPr="00ED2414" w:rsidRDefault="00535519" w:rsidP="006F1F2C">
      <w:pPr>
        <w:pStyle w:val="ListBullet"/>
        <w:ind w:left="3175" w:firstLine="0"/>
        <w:jc w:val="both"/>
        <w:rPr>
          <w:rFonts w:ascii="Times New Roman" w:hAnsi="Times New Roman"/>
        </w:rPr>
      </w:pPr>
      <w:r w:rsidRPr="00ED2414">
        <w:rPr>
          <w:rFonts w:ascii="Times New Roman" w:hAnsi="Times New Roman"/>
          <w:b/>
          <w:bCs/>
        </w:rPr>
        <w:t xml:space="preserve">Long-term Outlook and Focus on Stability: </w:t>
      </w:r>
      <w:r w:rsidRPr="00ED2414">
        <w:rPr>
          <w:rFonts w:ascii="Times New Roman" w:hAnsi="Times New Roman"/>
        </w:rPr>
        <w:t>Whistler Blackcomb has very lengthy and detailed plans that are well observed by stakeholders and the marketplace. Heavy regulatory requirements provide long term clarity to investors w</w:t>
      </w:r>
      <w:r w:rsidR="00917259">
        <w:rPr>
          <w:rFonts w:ascii="Times New Roman" w:hAnsi="Times New Roman"/>
        </w:rPr>
        <w:t>ho are able to see well-planned-</w:t>
      </w:r>
      <w:r w:rsidRPr="00ED2414">
        <w:rPr>
          <w:rFonts w:ascii="Times New Roman" w:hAnsi="Times New Roman"/>
        </w:rPr>
        <w:t xml:space="preserve">out future </w:t>
      </w:r>
      <w:r w:rsidR="00917259">
        <w:rPr>
          <w:rFonts w:ascii="Times New Roman" w:hAnsi="Times New Roman"/>
        </w:rPr>
        <w:t xml:space="preserve">operations resistant to sudden </w:t>
      </w:r>
      <w:r w:rsidR="00917259" w:rsidRPr="00917259">
        <w:rPr>
          <w:rFonts w:ascii="Times New Roman" w:hAnsi="Times New Roman"/>
        </w:rPr>
        <w:t>abrupt</w:t>
      </w:r>
      <w:r w:rsidRPr="00917259">
        <w:rPr>
          <w:rFonts w:ascii="Times New Roman" w:hAnsi="Times New Roman"/>
        </w:rPr>
        <w:t xml:space="preserve"> changes.</w:t>
      </w:r>
      <w:r w:rsidRPr="00ED2414">
        <w:rPr>
          <w:rFonts w:ascii="Times New Roman" w:hAnsi="Times New Roman"/>
        </w:rPr>
        <w:t xml:space="preserve"> </w:t>
      </w:r>
    </w:p>
    <w:p w14:paraId="6D5ECC0D" w14:textId="6C52DD18" w:rsidR="00535519" w:rsidRPr="00ED2414" w:rsidRDefault="00535519" w:rsidP="006F1F2C">
      <w:pPr>
        <w:pStyle w:val="ListBullet"/>
        <w:ind w:left="3175" w:firstLine="0"/>
        <w:jc w:val="both"/>
        <w:rPr>
          <w:rFonts w:ascii="Times New Roman" w:hAnsi="Times New Roman"/>
        </w:rPr>
      </w:pPr>
      <w:r w:rsidRPr="00ED2414">
        <w:rPr>
          <w:rFonts w:ascii="Times New Roman" w:hAnsi="Times New Roman"/>
          <w:b/>
          <w:bCs/>
        </w:rPr>
        <w:t xml:space="preserve">Existing Infrastructure and Available Capacity: </w:t>
      </w:r>
      <w:r w:rsidRPr="00ED2414">
        <w:rPr>
          <w:rFonts w:ascii="Times New Roman" w:hAnsi="Times New Roman"/>
        </w:rPr>
        <w:t xml:space="preserve">Whistler has the highest lift capacity out of the top North American ski resorts which is 18% higher than their main competitor, Vail. They provide an all-inclusive resort experience that is able to generate revenues through many different segments.   </w:t>
      </w:r>
    </w:p>
    <w:p w14:paraId="68C6F9F1" w14:textId="5AAD93E8" w:rsidR="00535519" w:rsidRPr="00AF5D65" w:rsidRDefault="00535519" w:rsidP="006F1F2C">
      <w:pPr>
        <w:pStyle w:val="ListBullet"/>
        <w:ind w:left="3175" w:firstLine="0"/>
        <w:jc w:val="both"/>
        <w:rPr>
          <w:rFonts w:ascii="Times New Roman" w:hAnsi="Times New Roman"/>
        </w:rPr>
      </w:pPr>
      <w:r w:rsidRPr="00ED2414">
        <w:rPr>
          <w:rFonts w:ascii="Times New Roman" w:hAnsi="Times New Roman"/>
          <w:b/>
          <w:bCs/>
        </w:rPr>
        <w:t xml:space="preserve">Minimal Capital Expansion Plans: </w:t>
      </w:r>
      <w:r w:rsidRPr="00ED2414">
        <w:rPr>
          <w:rFonts w:ascii="Times New Roman" w:hAnsi="Times New Roman"/>
        </w:rPr>
        <w:t xml:space="preserve">Whistler has just completed the Peak2Peak </w:t>
      </w:r>
      <w:r w:rsidR="00A43D61" w:rsidRPr="00ED2414">
        <w:rPr>
          <w:rFonts w:ascii="Times New Roman" w:hAnsi="Times New Roman"/>
        </w:rPr>
        <w:t>Gondola</w:t>
      </w:r>
      <w:r w:rsidRPr="00ED2414">
        <w:rPr>
          <w:rFonts w:ascii="Times New Roman" w:hAnsi="Times New Roman"/>
        </w:rPr>
        <w:t xml:space="preserve"> and have recently begun a program to provide snowmaking and enhanced terrain maintenance to their glacier skiing assets. The company has no major expansion plans in the future with regards to new ski runs and the company is especially hesitant </w:t>
      </w:r>
      <w:r w:rsidRPr="00AF5D65">
        <w:rPr>
          <w:rFonts w:ascii="Times New Roman" w:hAnsi="Times New Roman"/>
        </w:rPr>
        <w:t xml:space="preserve">to engage in any overly aggressive expansion or acquisition strategies. </w:t>
      </w:r>
    </w:p>
    <w:p w14:paraId="1BF9296C" w14:textId="77777777" w:rsidR="00AF5D65" w:rsidRPr="002E6728" w:rsidRDefault="00AF5D65" w:rsidP="00AF5D65">
      <w:pPr>
        <w:pStyle w:val="ListBullet"/>
        <w:ind w:left="3175" w:firstLine="0"/>
        <w:jc w:val="both"/>
        <w:rPr>
          <w:rFonts w:ascii="Times New Roman" w:hAnsi="Times New Roman"/>
          <w:lang w:eastAsia="zh-CN"/>
        </w:rPr>
      </w:pPr>
      <w:r w:rsidRPr="00AF5D65">
        <w:rPr>
          <w:rFonts w:ascii="Times New Roman" w:hAnsi="Times New Roman"/>
          <w:b/>
          <w:bCs/>
        </w:rPr>
        <w:t>Valuation:</w:t>
      </w:r>
      <w:r w:rsidRPr="00AF5D65">
        <w:rPr>
          <w:rFonts w:ascii="Times New Roman" w:hAnsi="Times New Roman"/>
        </w:rPr>
        <w:t xml:space="preserve"> Valuation methods indicate a current intrinsic price of $21.57.</w:t>
      </w:r>
      <w:r w:rsidRPr="00AF5D65">
        <w:rPr>
          <w:rFonts w:ascii="Times New Roman" w:hAnsi="Times New Roman" w:hint="eastAsia"/>
          <w:lang w:eastAsia="zh-CN"/>
        </w:rPr>
        <w:t xml:space="preserve"> </w:t>
      </w:r>
      <w:r w:rsidRPr="00AF5D65">
        <w:rPr>
          <w:rFonts w:ascii="Times New Roman" w:hAnsi="Times New Roman"/>
          <w:lang w:eastAsia="zh-CN"/>
        </w:rPr>
        <w:t>WB offers short-term growth through its demand drivers such as the depressed Canadian Dollar and excess capacity. However, it may be exposed to risks such as dividend risk and long-term debt risk.</w:t>
      </w:r>
      <w:r w:rsidRPr="002E6728">
        <w:rPr>
          <w:rFonts w:ascii="Times New Roman" w:hAnsi="Times New Roman"/>
          <w:lang w:eastAsia="zh-CN"/>
        </w:rPr>
        <w:t xml:space="preserve"> </w:t>
      </w:r>
    </w:p>
    <w:p w14:paraId="346F900F" w14:textId="152CF181" w:rsidR="00535519" w:rsidRDefault="00535519" w:rsidP="006F1F2C">
      <w:pPr>
        <w:pStyle w:val="Heading4"/>
        <w:ind w:left="3175"/>
        <w:rPr>
          <w:rFonts w:ascii="Times New Roman" w:hAnsi="Times New Roman"/>
        </w:rPr>
      </w:pPr>
      <w:r>
        <w:rPr>
          <w:rFonts w:ascii="Times New Roman" w:hAnsi="Times New Roman"/>
        </w:rPr>
        <w:t>Recent News</w:t>
      </w:r>
    </w:p>
    <w:p w14:paraId="4EEFAC69" w14:textId="55359DDD" w:rsidR="00580BEE" w:rsidRPr="0014323E" w:rsidRDefault="00580BEE" w:rsidP="00580BEE">
      <w:pPr>
        <w:pStyle w:val="ListParagraph"/>
        <w:widowControl w:val="0"/>
        <w:numPr>
          <w:ilvl w:val="0"/>
          <w:numId w:val="4"/>
        </w:numPr>
        <w:autoSpaceDE w:val="0"/>
        <w:autoSpaceDN w:val="0"/>
        <w:adjustRightInd w:val="0"/>
        <w:spacing w:after="0" w:line="276" w:lineRule="auto"/>
        <w:ind w:left="3261" w:hanging="2977"/>
        <w:rPr>
          <w:rFonts w:ascii="Times New Roman" w:hAnsi="Times New Roman"/>
          <w:sz w:val="20"/>
          <w:szCs w:val="20"/>
        </w:rPr>
      </w:pPr>
      <w:r w:rsidRPr="0014323E">
        <w:rPr>
          <w:rFonts w:ascii="Times New Roman" w:hAnsi="Times New Roman"/>
          <w:bCs/>
          <w:sz w:val="20"/>
          <w:szCs w:val="20"/>
        </w:rPr>
        <w:t xml:space="preserve">Recently </w:t>
      </w:r>
      <w:r w:rsidR="00A43D61" w:rsidRPr="0014323E">
        <w:rPr>
          <w:rFonts w:ascii="Times New Roman" w:hAnsi="Times New Roman"/>
          <w:bCs/>
          <w:sz w:val="20"/>
          <w:szCs w:val="20"/>
        </w:rPr>
        <w:t>launched</w:t>
      </w:r>
      <w:r w:rsidRPr="0014323E">
        <w:rPr>
          <w:rFonts w:ascii="Times New Roman" w:hAnsi="Times New Roman"/>
          <w:sz w:val="20"/>
          <w:szCs w:val="20"/>
        </w:rPr>
        <w:t xml:space="preserve"> </w:t>
      </w:r>
      <w:r w:rsidRPr="0014323E">
        <w:rPr>
          <w:rFonts w:ascii="Times New Roman" w:hAnsi="Times New Roman"/>
          <w:bCs/>
          <w:sz w:val="20"/>
          <w:szCs w:val="20"/>
        </w:rPr>
        <w:t>WB+</w:t>
      </w:r>
      <w:r w:rsidRPr="0014323E">
        <w:rPr>
          <w:rFonts w:ascii="Times New Roman" w:hAnsi="Times New Roman"/>
          <w:sz w:val="20"/>
          <w:szCs w:val="20"/>
        </w:rPr>
        <w:t>, a new web and mobile platform connected to the resort’s RFID technology.</w:t>
      </w:r>
    </w:p>
    <w:p w14:paraId="5BB613B5" w14:textId="77777777" w:rsidR="00580BEE" w:rsidRPr="0014323E" w:rsidRDefault="00580BEE" w:rsidP="00580BEE">
      <w:pPr>
        <w:pStyle w:val="ListParagraph"/>
        <w:numPr>
          <w:ilvl w:val="0"/>
          <w:numId w:val="4"/>
        </w:numPr>
        <w:spacing w:after="0" w:line="276" w:lineRule="auto"/>
        <w:ind w:left="3261" w:hanging="2977"/>
        <w:rPr>
          <w:rFonts w:ascii="Times New Roman" w:hAnsi="Times New Roman"/>
          <w:sz w:val="20"/>
          <w:szCs w:val="20"/>
        </w:rPr>
      </w:pPr>
      <w:r w:rsidRPr="0014323E">
        <w:rPr>
          <w:rFonts w:ascii="Times New Roman" w:hAnsi="Times New Roman"/>
          <w:bCs/>
          <w:sz w:val="20"/>
          <w:szCs w:val="20"/>
        </w:rPr>
        <w:t>Whistler Blackcomb</w:t>
      </w:r>
      <w:r w:rsidRPr="0014323E">
        <w:rPr>
          <w:rFonts w:ascii="Times New Roman" w:hAnsi="Times New Roman"/>
          <w:sz w:val="20"/>
          <w:szCs w:val="20"/>
        </w:rPr>
        <w:t xml:space="preserve"> is on its way to a possible record snow season</w:t>
      </w:r>
    </w:p>
    <w:p w14:paraId="731EF63F" w14:textId="77777777" w:rsidR="00580BEE" w:rsidRPr="0014323E" w:rsidRDefault="00580BEE" w:rsidP="00580BEE">
      <w:pPr>
        <w:pStyle w:val="ListParagraph"/>
        <w:numPr>
          <w:ilvl w:val="0"/>
          <w:numId w:val="4"/>
        </w:numPr>
        <w:spacing w:after="0" w:line="276" w:lineRule="auto"/>
        <w:ind w:left="3261" w:hanging="2977"/>
        <w:rPr>
          <w:rFonts w:ascii="Times New Roman" w:hAnsi="Times New Roman"/>
          <w:sz w:val="20"/>
          <w:szCs w:val="20"/>
        </w:rPr>
      </w:pPr>
      <w:r w:rsidRPr="0014323E">
        <w:rPr>
          <w:rFonts w:ascii="Times New Roman" w:hAnsi="Times New Roman"/>
          <w:sz w:val="20"/>
          <w:szCs w:val="20"/>
        </w:rPr>
        <w:t>Record level of visits to date in company’s history, 604,000 visitors through January 6</w:t>
      </w:r>
      <w:r w:rsidRPr="0014323E">
        <w:rPr>
          <w:rFonts w:ascii="Times New Roman" w:hAnsi="Times New Roman"/>
          <w:sz w:val="20"/>
          <w:szCs w:val="20"/>
          <w:vertAlign w:val="superscript"/>
        </w:rPr>
        <w:t>th</w:t>
      </w:r>
      <w:r w:rsidRPr="0014323E">
        <w:rPr>
          <w:rFonts w:ascii="Times New Roman" w:hAnsi="Times New Roman"/>
          <w:sz w:val="20"/>
          <w:szCs w:val="20"/>
        </w:rPr>
        <w:t>, compared to 514,000 for prior fiscal year.</w:t>
      </w:r>
    </w:p>
    <w:p w14:paraId="7D54127F" w14:textId="77777777" w:rsidR="00AA62B7" w:rsidRDefault="00AA62B7" w:rsidP="00AA62B7"/>
    <w:p w14:paraId="1D568A2D" w14:textId="77777777" w:rsidR="00AA62B7" w:rsidRDefault="00AA62B7" w:rsidP="00AA62B7"/>
    <w:p w14:paraId="36CB57D8" w14:textId="77777777" w:rsidR="00AA62B7" w:rsidRDefault="00AA62B7" w:rsidP="00AA62B7"/>
    <w:p w14:paraId="61D2857B" w14:textId="77777777" w:rsidR="00AA62B7" w:rsidRDefault="00AA62B7" w:rsidP="00AA62B7"/>
    <w:p w14:paraId="10FF73A1" w14:textId="77777777" w:rsidR="00AA62B7" w:rsidRDefault="00AA62B7" w:rsidP="00AA62B7"/>
    <w:p w14:paraId="3303A109" w14:textId="77777777" w:rsidR="00AA62B7" w:rsidRDefault="00AA62B7" w:rsidP="00AA62B7"/>
    <w:p w14:paraId="2D459CEE" w14:textId="77777777" w:rsidR="00AA62B7" w:rsidRDefault="00AA62B7" w:rsidP="00AA62B7"/>
    <w:p w14:paraId="6457B7B8" w14:textId="77777777" w:rsidR="00AA62B7" w:rsidRPr="00AA62B7" w:rsidRDefault="00AA62B7" w:rsidP="00AA62B7"/>
    <w:p w14:paraId="67F70439" w14:textId="77777777" w:rsidR="00AA62B7" w:rsidRDefault="00AA62B7" w:rsidP="00535519"/>
    <w:p w14:paraId="0A69EA75" w14:textId="77777777" w:rsidR="00AA62B7" w:rsidRDefault="00AA62B7" w:rsidP="00535519"/>
    <w:p w14:paraId="44D566A8" w14:textId="77777777" w:rsidR="00054F78" w:rsidRDefault="00054F78" w:rsidP="00535519"/>
    <w:p w14:paraId="33B01F9B" w14:textId="522B4B1E" w:rsidR="00656319" w:rsidRPr="00C94F8D" w:rsidRDefault="00C94F8D" w:rsidP="00656319">
      <w:pPr>
        <w:pStyle w:val="Heading4"/>
        <w:ind w:left="1872" w:firstLine="288"/>
        <w:rPr>
          <w:rFonts w:ascii="Times New Roman" w:hAnsi="Times New Roman"/>
          <w14:shadow w14:blurRad="50800" w14:dist="50800" w14:dir="5400000" w14:sx="1000" w14:sy="1000" w14:kx="0" w14:ky="0" w14:algn="ctr">
            <w14:srgbClr w14:val="000000">
              <w14:alpha w14:val="56870"/>
            </w14:srgbClr>
          </w14:shadow>
        </w:rPr>
      </w:pPr>
      <w:r w:rsidRPr="00C94F8D">
        <w:rPr>
          <w:noProof/>
          <w:lang w:val="en-CA" w:eastAsia="en-CA"/>
          <w14:shadow w14:blurRad="50800" w14:dist="50800" w14:dir="5400000" w14:sx="1000" w14:sy="1000" w14:kx="0" w14:ky="0" w14:algn="ctr">
            <w14:srgbClr w14:val="000000">
              <w14:alpha w14:val="56870"/>
            </w14:srgbClr>
          </w14:shadow>
        </w:rPr>
        <w:lastRenderedPageBreak/>
        <w:drawing>
          <wp:anchor distT="0" distB="0" distL="114300" distR="114300" simplePos="0" relativeHeight="251698688" behindDoc="1" locked="0" layoutInCell="1" allowOverlap="1" wp14:anchorId="02E7984D" wp14:editId="6B9599D9">
            <wp:simplePos x="0" y="0"/>
            <wp:positionH relativeFrom="column">
              <wp:posOffset>-709774</wp:posOffset>
            </wp:positionH>
            <wp:positionV relativeFrom="paragraph">
              <wp:posOffset>244571</wp:posOffset>
            </wp:positionV>
            <wp:extent cx="2009954" cy="2260121"/>
            <wp:effectExtent l="0" t="0" r="9525" b="6985"/>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656319" w:rsidRPr="00C94F8D">
        <w:rPr>
          <w:rFonts w:ascii="Times New Roman" w:hAnsi="Times New Roman"/>
          <w14:shadow w14:blurRad="50800" w14:dist="50800" w14:dir="5400000" w14:sx="1000" w14:sy="1000" w14:kx="0" w14:ky="0" w14:algn="ctr">
            <w14:srgbClr w14:val="000000">
              <w14:alpha w14:val="56870"/>
            </w14:srgbClr>
          </w14:shadow>
        </w:rPr>
        <w:t>Business Description</w:t>
      </w:r>
    </w:p>
    <w:p w14:paraId="06B958F3" w14:textId="05741A8D" w:rsidR="00656319" w:rsidRDefault="00656319" w:rsidP="00656319">
      <w:pPr>
        <w:pStyle w:val="Footer"/>
        <w:tabs>
          <w:tab w:val="clear" w:pos="4320"/>
          <w:tab w:val="clear" w:pos="8640"/>
        </w:tabs>
        <w:ind w:left="2880" w:hanging="360"/>
      </w:pPr>
    </w:p>
    <w:p w14:paraId="53BD6430" w14:textId="5BDB2D2B" w:rsidR="00B90C27" w:rsidRDefault="00656319" w:rsidP="00687515">
      <w:pPr>
        <w:pStyle w:val="Textindent"/>
        <w:spacing w:after="0"/>
        <w:rPr>
          <w:rFonts w:ascii="Times New Roman" w:hAnsi="Times New Roman"/>
          <w:color w:val="000000" w:themeColor="text1"/>
        </w:rPr>
      </w:pPr>
      <w:r w:rsidRPr="00ED2414">
        <w:rPr>
          <w:rFonts w:ascii="Times New Roman" w:hAnsi="Times New Roman"/>
          <w:color w:val="000000" w:themeColor="text1"/>
        </w:rPr>
        <w:t xml:space="preserve">Located 125km from Vancouver, BC, Whistler Blackcomb (WB) is </w:t>
      </w:r>
      <w:r w:rsidRPr="00C94F8D">
        <w:rPr>
          <w:rFonts w:ascii="Times New Roman" w:hAnsi="Times New Roman"/>
          <w:color w:val="000000" w:themeColor="text1"/>
        </w:rPr>
        <w:t>the largest and most visited ski resort in North America</w:t>
      </w:r>
      <w:r w:rsidRPr="00ED2414">
        <w:rPr>
          <w:rFonts w:ascii="Times New Roman" w:hAnsi="Times New Roman"/>
          <w:color w:val="000000" w:themeColor="text1"/>
        </w:rPr>
        <w:t xml:space="preserve">, receiving an average 2.0 million skier and snowboarder visits per year. Whistler Blackcomb provides visitors with world class skiing and </w:t>
      </w:r>
      <w:r w:rsidR="00A43D61" w:rsidRPr="00ED2414">
        <w:rPr>
          <w:rFonts w:ascii="Times New Roman" w:hAnsi="Times New Roman"/>
          <w:color w:val="000000" w:themeColor="text1"/>
        </w:rPr>
        <w:t>accommodations</w:t>
      </w:r>
      <w:r w:rsidRPr="00ED2414">
        <w:rPr>
          <w:rFonts w:ascii="Times New Roman" w:hAnsi="Times New Roman"/>
          <w:color w:val="000000" w:themeColor="text1"/>
        </w:rPr>
        <w:t xml:space="preserve"> during the winter, as well as numerous outdoor activities such as sightseeing, glacier skiing, mountain biking, hiking an</w:t>
      </w:r>
      <w:r w:rsidR="0031593B">
        <w:rPr>
          <w:rFonts w:ascii="Times New Roman" w:hAnsi="Times New Roman"/>
          <w:color w:val="000000" w:themeColor="text1"/>
        </w:rPr>
        <w:t>d golf during the summer months.</w:t>
      </w:r>
    </w:p>
    <w:p w14:paraId="0F961B60" w14:textId="47118EB0" w:rsidR="00656319" w:rsidRPr="00ED2414" w:rsidRDefault="00656319" w:rsidP="00687515">
      <w:pPr>
        <w:pStyle w:val="Textindent"/>
        <w:spacing w:after="0"/>
        <w:rPr>
          <w:rFonts w:ascii="Times New Roman" w:hAnsi="Times New Roman"/>
          <w:color w:val="000000" w:themeColor="text1"/>
        </w:rPr>
      </w:pPr>
      <w:r w:rsidRPr="00ED2414">
        <w:rPr>
          <w:rFonts w:ascii="Times New Roman" w:hAnsi="Times New Roman"/>
          <w:color w:val="000000" w:themeColor="text1"/>
        </w:rPr>
        <w:br/>
        <w:t xml:space="preserve">Whistler Blackcomb offers skiers and </w:t>
      </w:r>
      <w:r w:rsidR="00A43D61" w:rsidRPr="00ED2414">
        <w:rPr>
          <w:rFonts w:ascii="Times New Roman" w:hAnsi="Times New Roman"/>
          <w:color w:val="000000" w:themeColor="text1"/>
        </w:rPr>
        <w:t>snowboarder’s</w:t>
      </w:r>
      <w:r w:rsidRPr="00ED2414">
        <w:rPr>
          <w:rFonts w:ascii="Times New Roman" w:hAnsi="Times New Roman"/>
          <w:color w:val="000000" w:themeColor="text1"/>
        </w:rPr>
        <w:t xml:space="preserve"> access to 200 marked runs, nearly 5,300 vertical feet of skiing and over 8,000 acres of skiable terrain in addition to 14 alpine bowls and three glaciers. With an average of over 1,100 cm of snowfall per year and temperatures that rarely drop below -15 degrees Celsius, Whistler is well positioned to offer ideal conditions throughout the ski season. Furthermore, WB’s traditional ski season is amongst the longest in North America, typically running from </w:t>
      </w:r>
      <w:r w:rsidR="00A43D61" w:rsidRPr="00ED2414">
        <w:rPr>
          <w:rFonts w:ascii="Times New Roman" w:hAnsi="Times New Roman"/>
          <w:color w:val="000000" w:themeColor="text1"/>
        </w:rPr>
        <w:t>mid-November</w:t>
      </w:r>
      <w:r w:rsidRPr="00ED2414">
        <w:rPr>
          <w:rFonts w:ascii="Times New Roman" w:hAnsi="Times New Roman"/>
          <w:color w:val="000000" w:themeColor="text1"/>
        </w:rPr>
        <w:t xml:space="preserve"> through May, while its glacier ski season runs during the months of June and July.</w:t>
      </w:r>
      <w:r w:rsidR="00A43D61">
        <w:rPr>
          <w:rFonts w:ascii="Times New Roman" w:hAnsi="Times New Roman"/>
          <w:color w:val="000000" w:themeColor="text1"/>
        </w:rPr>
        <w:t xml:space="preserve"> </w:t>
      </w:r>
      <w:r w:rsidRPr="00ED2414">
        <w:rPr>
          <w:rFonts w:ascii="Times New Roman" w:hAnsi="Times New Roman"/>
          <w:color w:val="000000" w:themeColor="text1"/>
        </w:rPr>
        <w:t xml:space="preserve">WB is able to use crown land to operate because of the long term lease agreements signed with the </w:t>
      </w:r>
      <w:r w:rsidR="00A43D61" w:rsidRPr="00ED2414">
        <w:rPr>
          <w:rFonts w:ascii="Times New Roman" w:hAnsi="Times New Roman"/>
          <w:color w:val="000000" w:themeColor="text1"/>
        </w:rPr>
        <w:t>provincial</w:t>
      </w:r>
      <w:r w:rsidRPr="00ED2414">
        <w:rPr>
          <w:rFonts w:ascii="Times New Roman" w:hAnsi="Times New Roman"/>
          <w:color w:val="000000" w:themeColor="text1"/>
        </w:rPr>
        <w:t xml:space="preserve"> BC government. WB pays a 2% fee off of gross revenues from lift operations to the provincial government in order to maintain</w:t>
      </w:r>
      <w:r w:rsidR="00917259">
        <w:rPr>
          <w:rFonts w:ascii="Times New Roman" w:hAnsi="Times New Roman"/>
          <w:color w:val="000000" w:themeColor="text1"/>
        </w:rPr>
        <w:t xml:space="preserve"> its</w:t>
      </w:r>
      <w:r w:rsidRPr="00ED2414">
        <w:rPr>
          <w:rFonts w:ascii="Times New Roman" w:hAnsi="Times New Roman"/>
          <w:color w:val="000000" w:themeColor="text1"/>
        </w:rPr>
        <w:t xml:space="preserve"> regulatory </w:t>
      </w:r>
      <w:r w:rsidR="00A43D61" w:rsidRPr="00ED2414">
        <w:rPr>
          <w:rFonts w:ascii="Times New Roman" w:hAnsi="Times New Roman"/>
          <w:color w:val="000000" w:themeColor="text1"/>
        </w:rPr>
        <w:t>approval. Revenue</w:t>
      </w:r>
      <w:r w:rsidRPr="00ED2414">
        <w:rPr>
          <w:rFonts w:ascii="Times New Roman" w:hAnsi="Times New Roman"/>
          <w:color w:val="000000" w:themeColor="text1"/>
        </w:rPr>
        <w:t xml:space="preserve"> is generated through five main segments </w:t>
      </w:r>
    </w:p>
    <w:p w14:paraId="0CA4F517" w14:textId="28382B66" w:rsidR="00656319" w:rsidRPr="00ED2414" w:rsidRDefault="00656319" w:rsidP="00656319">
      <w:pPr>
        <w:pStyle w:val="Textindent"/>
        <w:spacing w:after="0"/>
        <w:jc w:val="both"/>
        <w:rPr>
          <w:rFonts w:ascii="Times New Roman" w:hAnsi="Times New Roman"/>
          <w:b/>
          <w:bCs/>
        </w:rPr>
      </w:pPr>
    </w:p>
    <w:p w14:paraId="0E044B9A" w14:textId="62E9EC72" w:rsidR="0031593B" w:rsidRPr="0031593B" w:rsidRDefault="00656319" w:rsidP="0031593B">
      <w:pPr>
        <w:pStyle w:val="Textindent"/>
        <w:spacing w:after="0"/>
        <w:rPr>
          <w:rFonts w:ascii="Times New Roman" w:hAnsi="Times New Roman"/>
          <w:b/>
          <w:bCs/>
        </w:rPr>
      </w:pPr>
      <w:r w:rsidRPr="00ED2414">
        <w:rPr>
          <w:rFonts w:ascii="Times New Roman" w:hAnsi="Times New Roman"/>
          <w:b/>
          <w:bCs/>
        </w:rPr>
        <w:t>Lift Operations</w:t>
      </w:r>
    </w:p>
    <w:p w14:paraId="5688EF93" w14:textId="7DA1AC6E" w:rsidR="00656319" w:rsidRDefault="00656319" w:rsidP="00656319">
      <w:pPr>
        <w:pStyle w:val="Textindent"/>
        <w:spacing w:after="0"/>
        <w:rPr>
          <w:rFonts w:ascii="Times New Roman" w:hAnsi="Times New Roman"/>
          <w:highlight w:val="yellow"/>
        </w:rPr>
      </w:pPr>
      <w:r w:rsidRPr="00ED2414">
        <w:rPr>
          <w:rFonts w:ascii="Times New Roman" w:hAnsi="Times New Roman"/>
          <w:noProof/>
        </w:rPr>
        <w:t xml:space="preserve"> </w:t>
      </w:r>
      <w:r w:rsidRPr="00ED2414">
        <w:rPr>
          <w:rFonts w:ascii="Times New Roman" w:hAnsi="Times New Roman"/>
        </w:rPr>
        <w:t xml:space="preserve">~50% of revenues at WB come from the lift operations and this figure has been steady for the last 5 years. WB has the ability to </w:t>
      </w:r>
      <w:r w:rsidRPr="00917259">
        <w:rPr>
          <w:rFonts w:ascii="Times New Roman" w:hAnsi="Times New Roman"/>
        </w:rPr>
        <w:t xml:space="preserve">include a hefty price premium on its lift tickets due to the superior quality of the ski assets and exceptional, unrivaled mountain experience. The </w:t>
      </w:r>
      <w:r w:rsidR="00917259" w:rsidRPr="00917259">
        <w:rPr>
          <w:rFonts w:ascii="Times New Roman" w:hAnsi="Times New Roman"/>
        </w:rPr>
        <w:t xml:space="preserve">large scale of operations gives it the flexibility to cater to increasing number of </w:t>
      </w:r>
      <w:r w:rsidR="00A43D61" w:rsidRPr="00917259">
        <w:rPr>
          <w:rFonts w:ascii="Times New Roman" w:hAnsi="Times New Roman"/>
        </w:rPr>
        <w:t>visitors</w:t>
      </w:r>
      <w:r w:rsidR="00917259" w:rsidRPr="00917259">
        <w:rPr>
          <w:rFonts w:ascii="Times New Roman" w:hAnsi="Times New Roman"/>
        </w:rPr>
        <w:t>.</w:t>
      </w:r>
    </w:p>
    <w:p w14:paraId="4FACACA2" w14:textId="74796F38" w:rsidR="00917259" w:rsidRPr="00ED2414" w:rsidRDefault="00917259" w:rsidP="00656319">
      <w:pPr>
        <w:pStyle w:val="Textindent"/>
        <w:spacing w:after="0"/>
        <w:rPr>
          <w:rFonts w:ascii="Times New Roman" w:hAnsi="Times New Roman"/>
        </w:rPr>
      </w:pPr>
    </w:p>
    <w:p w14:paraId="5E5BD0F0" w14:textId="343C1091" w:rsidR="00656319" w:rsidRPr="00ED2414" w:rsidRDefault="00656319" w:rsidP="00656319">
      <w:pPr>
        <w:pStyle w:val="Textindent"/>
        <w:spacing w:after="0"/>
        <w:rPr>
          <w:rFonts w:ascii="Times New Roman" w:hAnsi="Times New Roman"/>
        </w:rPr>
      </w:pPr>
      <w:r w:rsidRPr="00ED2414">
        <w:rPr>
          <w:rFonts w:ascii="Times New Roman" w:hAnsi="Times New Roman"/>
          <w:b/>
          <w:bCs/>
        </w:rPr>
        <w:t xml:space="preserve">Ski School </w:t>
      </w:r>
    </w:p>
    <w:p w14:paraId="036B6EAB" w14:textId="7EAFCDD1" w:rsidR="00656319" w:rsidRPr="00ED2414" w:rsidRDefault="00656319" w:rsidP="0011337E">
      <w:pPr>
        <w:pStyle w:val="Textindent"/>
        <w:spacing w:after="0"/>
        <w:rPr>
          <w:rFonts w:ascii="Times New Roman" w:hAnsi="Times New Roman"/>
        </w:rPr>
      </w:pPr>
      <w:r w:rsidRPr="00ED2414">
        <w:rPr>
          <w:rFonts w:ascii="Times New Roman" w:hAnsi="Times New Roman"/>
        </w:rPr>
        <w:t xml:space="preserve">The ski school at Whistler Blackcomb operates at </w:t>
      </w:r>
      <w:r w:rsidR="0011337E" w:rsidRPr="00CF5838">
        <w:rPr>
          <w:rFonts w:ascii="Times New Roman" w:hAnsi="Times New Roman"/>
        </w:rPr>
        <w:t xml:space="preserve">a higher margin </w:t>
      </w:r>
      <w:r w:rsidRPr="00CF5838">
        <w:rPr>
          <w:rFonts w:ascii="Times New Roman" w:hAnsi="Times New Roman"/>
        </w:rPr>
        <w:t>when</w:t>
      </w:r>
      <w:r w:rsidRPr="00ED2414">
        <w:rPr>
          <w:rFonts w:ascii="Times New Roman" w:hAnsi="Times New Roman"/>
        </w:rPr>
        <w:t xml:space="preserve"> compared to the lift operations. The school also helps promote the family friendly atmosphere around the resort. IE. Parents can leave their kids in ski lessons while going out to enjoy the mountain for themselves. Whistler has revamped their ski school and they are still seeing strong operations with over 100,000 lessons and 20,000 private lessons per ski season.</w:t>
      </w:r>
      <w:r w:rsidRPr="00ED2414">
        <w:rPr>
          <w:rFonts w:ascii="Times New Roman" w:hAnsi="Times New Roman"/>
        </w:rPr>
        <w:br/>
      </w:r>
    </w:p>
    <w:p w14:paraId="4B8143AD" w14:textId="3D16B93E" w:rsidR="00656319" w:rsidRPr="00ED2414" w:rsidRDefault="00656319" w:rsidP="00656319">
      <w:pPr>
        <w:pStyle w:val="Textindent"/>
        <w:spacing w:after="0"/>
        <w:rPr>
          <w:rFonts w:ascii="Times New Roman" w:hAnsi="Times New Roman"/>
        </w:rPr>
      </w:pPr>
      <w:r w:rsidRPr="00ED2414">
        <w:rPr>
          <w:rFonts w:ascii="Times New Roman" w:hAnsi="Times New Roman"/>
          <w:b/>
          <w:bCs/>
        </w:rPr>
        <w:t xml:space="preserve">Food &amp; Beverage Operations </w:t>
      </w:r>
      <w:r w:rsidRPr="00ED2414">
        <w:rPr>
          <w:rFonts w:ascii="Times New Roman" w:hAnsi="Times New Roman"/>
          <w:b/>
          <w:bCs/>
        </w:rPr>
        <w:br/>
      </w:r>
      <w:r w:rsidRPr="00ED2414">
        <w:rPr>
          <w:rFonts w:ascii="Times New Roman" w:hAnsi="Times New Roman"/>
        </w:rPr>
        <w:t xml:space="preserve">The food and beverage segment at Whistler is substantial with 15 </w:t>
      </w:r>
      <w:r w:rsidR="00A43D61" w:rsidRPr="00ED2414">
        <w:rPr>
          <w:rFonts w:ascii="Times New Roman" w:hAnsi="Times New Roman"/>
        </w:rPr>
        <w:t>restaurants</w:t>
      </w:r>
      <w:r w:rsidRPr="00ED2414">
        <w:rPr>
          <w:rFonts w:ascii="Times New Roman" w:hAnsi="Times New Roman"/>
        </w:rPr>
        <w:t xml:space="preserve"> operating through the resort, providing a seating capacity of ~7,300. Food options range include youth-friendly bars, low-key cafes and high end dining and there is a broad variety catering to most demographics. WB is the </w:t>
      </w:r>
      <w:r w:rsidR="00A43D61" w:rsidRPr="00C94F8D">
        <w:rPr>
          <w:rFonts w:ascii="Times New Roman" w:hAnsi="Times New Roman"/>
        </w:rPr>
        <w:t>exclusive</w:t>
      </w:r>
      <w:r w:rsidRPr="00C94F8D">
        <w:rPr>
          <w:rFonts w:ascii="Times New Roman" w:hAnsi="Times New Roman"/>
        </w:rPr>
        <w:t xml:space="preserve"> mountain food provider for</w:t>
      </w:r>
      <w:r w:rsidRPr="00ED2414">
        <w:rPr>
          <w:rFonts w:ascii="Times New Roman" w:hAnsi="Times New Roman"/>
        </w:rPr>
        <w:t xml:space="preserve"> the entire mountain resort. </w:t>
      </w:r>
    </w:p>
    <w:p w14:paraId="390E2E79" w14:textId="2D304924" w:rsidR="00656319" w:rsidRPr="00ED2414" w:rsidRDefault="00656319" w:rsidP="00656319">
      <w:pPr>
        <w:pStyle w:val="Textindent"/>
        <w:spacing w:after="0"/>
        <w:rPr>
          <w:rFonts w:ascii="Times New Roman" w:hAnsi="Times New Roman"/>
        </w:rPr>
      </w:pPr>
    </w:p>
    <w:p w14:paraId="70199DA3" w14:textId="0455EC25" w:rsidR="00656319" w:rsidRPr="00ED2414" w:rsidRDefault="00656319" w:rsidP="00656319">
      <w:pPr>
        <w:pStyle w:val="Textindent"/>
        <w:spacing w:after="0"/>
        <w:rPr>
          <w:rFonts w:ascii="Times New Roman" w:hAnsi="Times New Roman"/>
        </w:rPr>
      </w:pPr>
      <w:r w:rsidRPr="00ED2414">
        <w:rPr>
          <w:rFonts w:ascii="Times New Roman" w:hAnsi="Times New Roman"/>
          <w:b/>
          <w:bCs/>
        </w:rPr>
        <w:t>Retail &amp; Rental Operations</w:t>
      </w:r>
    </w:p>
    <w:p w14:paraId="21C17392" w14:textId="74B0954E" w:rsidR="00656319" w:rsidRPr="00ED2414" w:rsidRDefault="00656319" w:rsidP="00656319">
      <w:pPr>
        <w:pStyle w:val="Textindent"/>
        <w:spacing w:after="0"/>
        <w:rPr>
          <w:rFonts w:ascii="Times New Roman" w:hAnsi="Times New Roman"/>
        </w:rPr>
      </w:pPr>
      <w:r w:rsidRPr="00ED2414">
        <w:rPr>
          <w:rFonts w:ascii="Times New Roman" w:hAnsi="Times New Roman"/>
        </w:rPr>
        <w:t xml:space="preserve">WB supports a large rental operation with over 10,000 ski and snowboard units available and 15 separate rental shows. The rental business helps provides an ease of use value proposition, especially to international visitors who do not have to bring ski equipment on their travels. Whistler branded merchandise and ski equipment sales command higher margins than other similar products due to the strong marketing power of WB’s brand. </w:t>
      </w:r>
      <w:r w:rsidRPr="00ED2414">
        <w:rPr>
          <w:rFonts w:ascii="Times New Roman" w:hAnsi="Times New Roman"/>
        </w:rPr>
        <w:br/>
      </w:r>
    </w:p>
    <w:p w14:paraId="157B7D89" w14:textId="62099384" w:rsidR="00656319" w:rsidRPr="00ED2414" w:rsidRDefault="00656319" w:rsidP="00656319">
      <w:pPr>
        <w:pStyle w:val="Textindent"/>
        <w:spacing w:after="0"/>
        <w:rPr>
          <w:rFonts w:ascii="Times New Roman" w:hAnsi="Times New Roman"/>
        </w:rPr>
      </w:pPr>
      <w:r w:rsidRPr="00ED2414">
        <w:rPr>
          <w:rFonts w:ascii="Times New Roman" w:hAnsi="Times New Roman"/>
          <w:b/>
          <w:bCs/>
        </w:rPr>
        <w:t>Other Resort Operations</w:t>
      </w:r>
    </w:p>
    <w:p w14:paraId="329BA5E0" w14:textId="0F80BB1E" w:rsidR="00656319" w:rsidRDefault="00656319" w:rsidP="00687515">
      <w:pPr>
        <w:pStyle w:val="Textindent"/>
        <w:spacing w:after="0"/>
        <w:rPr>
          <w:rFonts w:ascii="Times New Roman" w:hAnsi="Times New Roman"/>
        </w:rPr>
      </w:pPr>
      <w:r w:rsidRPr="00ED2414">
        <w:rPr>
          <w:rFonts w:ascii="Times New Roman" w:hAnsi="Times New Roman"/>
        </w:rPr>
        <w:t xml:space="preserve">This segment includes event management services, employee </w:t>
      </w:r>
      <w:r w:rsidR="00A43D61" w:rsidRPr="00ED2414">
        <w:rPr>
          <w:rFonts w:ascii="Times New Roman" w:hAnsi="Times New Roman"/>
        </w:rPr>
        <w:t>housing,</w:t>
      </w:r>
      <w:r w:rsidRPr="00ED2414">
        <w:rPr>
          <w:rFonts w:ascii="Times New Roman" w:hAnsi="Times New Roman"/>
        </w:rPr>
        <w:t xml:space="preserve"> lodging management, </w:t>
      </w:r>
      <w:r w:rsidR="00A43D61" w:rsidRPr="00ED2414">
        <w:rPr>
          <w:rFonts w:ascii="Times New Roman" w:hAnsi="Times New Roman"/>
        </w:rPr>
        <w:t>Heli</w:t>
      </w:r>
      <w:r w:rsidRPr="00ED2414">
        <w:rPr>
          <w:rFonts w:ascii="Times New Roman" w:hAnsi="Times New Roman"/>
        </w:rPr>
        <w:t xml:space="preserve">-ski services and Whistler’s Central reservation system. WB also acquires revenue from third party businesses who offer services like snowmobiling, horseback riding and ATB tours. </w:t>
      </w:r>
    </w:p>
    <w:p w14:paraId="537296F0" w14:textId="77777777" w:rsidR="0031593B" w:rsidRDefault="0031593B" w:rsidP="00687515">
      <w:pPr>
        <w:pStyle w:val="Textindent"/>
        <w:spacing w:after="0"/>
        <w:rPr>
          <w:rFonts w:ascii="Times New Roman" w:hAnsi="Times New Roman"/>
        </w:rPr>
      </w:pPr>
    </w:p>
    <w:p w14:paraId="6E156128" w14:textId="77777777" w:rsidR="0031593B" w:rsidRDefault="0031593B" w:rsidP="00687515">
      <w:pPr>
        <w:pStyle w:val="Textindent"/>
        <w:spacing w:after="0"/>
        <w:rPr>
          <w:rFonts w:ascii="Times New Roman" w:hAnsi="Times New Roman"/>
        </w:rPr>
      </w:pPr>
    </w:p>
    <w:p w14:paraId="453D31EB" w14:textId="77777777" w:rsidR="0031593B" w:rsidRDefault="0031593B" w:rsidP="00687515">
      <w:pPr>
        <w:pStyle w:val="Textindent"/>
        <w:spacing w:after="0"/>
        <w:rPr>
          <w:rFonts w:ascii="Times New Roman" w:hAnsi="Times New Roman"/>
        </w:rPr>
      </w:pPr>
    </w:p>
    <w:p w14:paraId="57B0DDE9" w14:textId="77777777" w:rsidR="0031593B" w:rsidRDefault="0031593B" w:rsidP="00687515">
      <w:pPr>
        <w:pStyle w:val="Textindent"/>
        <w:spacing w:after="0"/>
        <w:rPr>
          <w:rFonts w:ascii="Times New Roman" w:hAnsi="Times New Roman"/>
        </w:rPr>
      </w:pPr>
    </w:p>
    <w:p w14:paraId="373E0FCF" w14:textId="4C482A05" w:rsidR="0031593B" w:rsidRDefault="0031593B" w:rsidP="00687515">
      <w:pPr>
        <w:pStyle w:val="Textindent"/>
        <w:spacing w:after="0"/>
        <w:rPr>
          <w:rFonts w:ascii="Times New Roman" w:hAnsi="Times New Roman"/>
        </w:rPr>
      </w:pPr>
    </w:p>
    <w:p w14:paraId="62F13BB5" w14:textId="77777777" w:rsidR="0031593B" w:rsidRDefault="0031593B" w:rsidP="00687515">
      <w:pPr>
        <w:pStyle w:val="Textindent"/>
        <w:spacing w:after="0"/>
        <w:rPr>
          <w:rFonts w:ascii="Times New Roman" w:hAnsi="Times New Roman"/>
        </w:rPr>
      </w:pPr>
    </w:p>
    <w:p w14:paraId="5B8C81D8" w14:textId="77777777" w:rsidR="0031593B" w:rsidRPr="00687515" w:rsidRDefault="0031593B" w:rsidP="00687515">
      <w:pPr>
        <w:pStyle w:val="Textindent"/>
        <w:spacing w:after="0"/>
        <w:rPr>
          <w:rFonts w:ascii="Times New Roman" w:hAnsi="Times New Roman"/>
        </w:rPr>
      </w:pPr>
    </w:p>
    <w:p w14:paraId="58FBE1EB" w14:textId="5216E596" w:rsidR="0031593B" w:rsidRDefault="00656319" w:rsidP="0031593B">
      <w:pPr>
        <w:pStyle w:val="Heading4"/>
        <w:ind w:left="1944" w:firstLine="216"/>
        <w:rPr>
          <w:rFonts w:ascii="Times New Roman" w:hAnsi="Times New Roman"/>
        </w:rPr>
      </w:pPr>
      <w:r w:rsidRPr="00ED2414">
        <w:rPr>
          <w:rFonts w:ascii="Times New Roman" w:hAnsi="Times New Roman"/>
        </w:rPr>
        <w:lastRenderedPageBreak/>
        <w:t>Management &amp; Governance</w:t>
      </w:r>
    </w:p>
    <w:p w14:paraId="031F87F4" w14:textId="77777777" w:rsidR="0031593B" w:rsidRPr="0031593B" w:rsidRDefault="0031593B" w:rsidP="0031593B"/>
    <w:tbl>
      <w:tblPr>
        <w:tblW w:w="11780" w:type="dxa"/>
        <w:tblInd w:w="-855" w:type="dxa"/>
        <w:tblLook w:val="04A0" w:firstRow="1" w:lastRow="0" w:firstColumn="1" w:lastColumn="0" w:noHBand="0" w:noVBand="1"/>
      </w:tblPr>
      <w:tblGrid>
        <w:gridCol w:w="2000"/>
        <w:gridCol w:w="1920"/>
        <w:gridCol w:w="2680"/>
        <w:gridCol w:w="1960"/>
        <w:gridCol w:w="1960"/>
        <w:gridCol w:w="1260"/>
      </w:tblGrid>
      <w:tr w:rsidR="0031593B" w:rsidRPr="0031593B" w14:paraId="6E635416" w14:textId="77777777" w:rsidTr="0031593B">
        <w:trPr>
          <w:trHeight w:val="255"/>
        </w:trPr>
        <w:tc>
          <w:tcPr>
            <w:tcW w:w="2000" w:type="dxa"/>
            <w:tcBorders>
              <w:top w:val="single" w:sz="8" w:space="0" w:color="auto"/>
              <w:left w:val="single" w:sz="8" w:space="0" w:color="auto"/>
              <w:bottom w:val="nil"/>
              <w:right w:val="nil"/>
            </w:tcBorders>
            <w:shd w:val="clear" w:color="000000" w:fill="203764"/>
            <w:noWrap/>
            <w:vAlign w:val="bottom"/>
            <w:hideMark/>
          </w:tcPr>
          <w:p w14:paraId="5741D7D3" w14:textId="77777777" w:rsidR="0031593B" w:rsidRPr="0031593B" w:rsidRDefault="0031593B" w:rsidP="0031593B">
            <w:pPr>
              <w:rPr>
                <w:rFonts w:ascii="Arial" w:eastAsia="Times New Roman" w:hAnsi="Arial" w:cs="Arial"/>
                <w:b/>
                <w:bCs/>
                <w:color w:val="FFFFFF"/>
              </w:rPr>
            </w:pPr>
            <w:r w:rsidRPr="0031593B">
              <w:rPr>
                <w:rFonts w:ascii="Arial" w:eastAsia="Times New Roman" w:hAnsi="Arial" w:cs="Arial"/>
                <w:b/>
                <w:bCs/>
                <w:color w:val="FFFFFF"/>
              </w:rPr>
              <w:t>Management</w:t>
            </w:r>
          </w:p>
        </w:tc>
        <w:tc>
          <w:tcPr>
            <w:tcW w:w="1920" w:type="dxa"/>
            <w:tcBorders>
              <w:top w:val="single" w:sz="8" w:space="0" w:color="auto"/>
              <w:left w:val="nil"/>
              <w:bottom w:val="nil"/>
              <w:right w:val="nil"/>
            </w:tcBorders>
            <w:shd w:val="clear" w:color="000000" w:fill="203764"/>
            <w:noWrap/>
            <w:vAlign w:val="bottom"/>
            <w:hideMark/>
          </w:tcPr>
          <w:p w14:paraId="1401918C" w14:textId="77777777" w:rsidR="0031593B" w:rsidRPr="0031593B" w:rsidRDefault="0031593B" w:rsidP="0031593B">
            <w:pPr>
              <w:rPr>
                <w:rFonts w:ascii="Arial" w:eastAsia="Times New Roman" w:hAnsi="Arial" w:cs="Arial"/>
                <w:b/>
                <w:bCs/>
                <w:color w:val="FFFFFF"/>
              </w:rPr>
            </w:pPr>
            <w:r w:rsidRPr="0031593B">
              <w:rPr>
                <w:rFonts w:ascii="Arial" w:eastAsia="Times New Roman" w:hAnsi="Arial" w:cs="Arial"/>
                <w:b/>
                <w:bCs/>
                <w:color w:val="FFFFFF"/>
              </w:rPr>
              <w:t>Position</w:t>
            </w:r>
          </w:p>
        </w:tc>
        <w:tc>
          <w:tcPr>
            <w:tcW w:w="2680" w:type="dxa"/>
            <w:tcBorders>
              <w:top w:val="single" w:sz="8" w:space="0" w:color="auto"/>
              <w:left w:val="nil"/>
              <w:bottom w:val="nil"/>
              <w:right w:val="nil"/>
            </w:tcBorders>
            <w:shd w:val="clear" w:color="000000" w:fill="203764"/>
            <w:noWrap/>
            <w:vAlign w:val="bottom"/>
            <w:hideMark/>
          </w:tcPr>
          <w:p w14:paraId="1B395DCF" w14:textId="77777777" w:rsidR="0031593B" w:rsidRPr="0031593B" w:rsidRDefault="0031593B" w:rsidP="0031593B">
            <w:pPr>
              <w:rPr>
                <w:rFonts w:ascii="Arial" w:eastAsia="Times New Roman" w:hAnsi="Arial" w:cs="Arial"/>
                <w:b/>
                <w:bCs/>
                <w:color w:val="FFFFFF"/>
              </w:rPr>
            </w:pPr>
            <w:r w:rsidRPr="0031593B">
              <w:rPr>
                <w:rFonts w:ascii="Arial" w:eastAsia="Times New Roman" w:hAnsi="Arial" w:cs="Arial"/>
                <w:b/>
                <w:bCs/>
                <w:color w:val="FFFFFF"/>
              </w:rPr>
              <w:t>Experience</w:t>
            </w:r>
          </w:p>
        </w:tc>
        <w:tc>
          <w:tcPr>
            <w:tcW w:w="1960" w:type="dxa"/>
            <w:tcBorders>
              <w:top w:val="single" w:sz="8" w:space="0" w:color="auto"/>
              <w:left w:val="nil"/>
              <w:bottom w:val="nil"/>
              <w:right w:val="nil"/>
            </w:tcBorders>
            <w:shd w:val="clear" w:color="000000" w:fill="203764"/>
            <w:noWrap/>
            <w:vAlign w:val="bottom"/>
            <w:hideMark/>
          </w:tcPr>
          <w:p w14:paraId="02D09FA6" w14:textId="77777777" w:rsidR="0031593B" w:rsidRPr="0031593B" w:rsidRDefault="0031593B" w:rsidP="0031593B">
            <w:pPr>
              <w:rPr>
                <w:rFonts w:ascii="Arial" w:eastAsia="Times New Roman" w:hAnsi="Arial" w:cs="Arial"/>
                <w:color w:val="FFFFFF"/>
              </w:rPr>
            </w:pPr>
            <w:r w:rsidRPr="0031593B">
              <w:rPr>
                <w:rFonts w:ascii="Arial" w:eastAsia="Times New Roman" w:hAnsi="Arial" w:cs="Arial"/>
                <w:color w:val="FFFFFF"/>
              </w:rPr>
              <w:t> </w:t>
            </w:r>
          </w:p>
        </w:tc>
        <w:tc>
          <w:tcPr>
            <w:tcW w:w="1960" w:type="dxa"/>
            <w:tcBorders>
              <w:top w:val="single" w:sz="8" w:space="0" w:color="auto"/>
              <w:left w:val="nil"/>
              <w:bottom w:val="nil"/>
              <w:right w:val="nil"/>
            </w:tcBorders>
            <w:shd w:val="clear" w:color="000000" w:fill="203764"/>
            <w:noWrap/>
            <w:vAlign w:val="bottom"/>
            <w:hideMark/>
          </w:tcPr>
          <w:p w14:paraId="188967CB" w14:textId="77777777" w:rsidR="0031593B" w:rsidRPr="0031593B" w:rsidRDefault="0031593B" w:rsidP="0031593B">
            <w:pPr>
              <w:rPr>
                <w:rFonts w:ascii="Arial" w:eastAsia="Times New Roman" w:hAnsi="Arial" w:cs="Arial"/>
                <w:color w:val="FFFFFF"/>
              </w:rPr>
            </w:pPr>
            <w:r w:rsidRPr="0031593B">
              <w:rPr>
                <w:rFonts w:ascii="Arial" w:eastAsia="Times New Roman" w:hAnsi="Arial" w:cs="Arial"/>
                <w:color w:val="FFFFFF"/>
              </w:rPr>
              <w:t> </w:t>
            </w:r>
          </w:p>
        </w:tc>
        <w:tc>
          <w:tcPr>
            <w:tcW w:w="1260" w:type="dxa"/>
            <w:tcBorders>
              <w:top w:val="single" w:sz="8" w:space="0" w:color="auto"/>
              <w:left w:val="nil"/>
              <w:bottom w:val="nil"/>
              <w:right w:val="single" w:sz="8" w:space="0" w:color="auto"/>
            </w:tcBorders>
            <w:shd w:val="clear" w:color="000000" w:fill="203764"/>
            <w:noWrap/>
            <w:vAlign w:val="bottom"/>
            <w:hideMark/>
          </w:tcPr>
          <w:p w14:paraId="6A5F8AF9" w14:textId="77777777" w:rsidR="0031593B" w:rsidRPr="0031593B" w:rsidRDefault="0031593B" w:rsidP="0031593B">
            <w:pPr>
              <w:rPr>
                <w:rFonts w:ascii="Arial" w:eastAsia="Times New Roman" w:hAnsi="Arial" w:cs="Arial"/>
                <w:color w:val="FFFFFF"/>
              </w:rPr>
            </w:pPr>
            <w:r w:rsidRPr="0031593B">
              <w:rPr>
                <w:rFonts w:ascii="Arial" w:eastAsia="Times New Roman" w:hAnsi="Arial" w:cs="Arial"/>
                <w:color w:val="FFFFFF"/>
              </w:rPr>
              <w:t> </w:t>
            </w:r>
          </w:p>
        </w:tc>
      </w:tr>
      <w:tr w:rsidR="0031593B" w:rsidRPr="0031593B" w14:paraId="746C80D3" w14:textId="77777777" w:rsidTr="0031593B">
        <w:trPr>
          <w:trHeight w:val="255"/>
        </w:trPr>
        <w:tc>
          <w:tcPr>
            <w:tcW w:w="2000" w:type="dxa"/>
            <w:tcBorders>
              <w:top w:val="nil"/>
              <w:left w:val="single" w:sz="8" w:space="0" w:color="auto"/>
              <w:bottom w:val="nil"/>
              <w:right w:val="nil"/>
            </w:tcBorders>
            <w:shd w:val="clear" w:color="000000" w:fill="FFFFFF"/>
            <w:noWrap/>
            <w:vAlign w:val="bottom"/>
            <w:hideMark/>
          </w:tcPr>
          <w:p w14:paraId="739DC3D4" w14:textId="77777777" w:rsidR="0031593B" w:rsidRPr="0031593B" w:rsidRDefault="0031593B" w:rsidP="0031593B">
            <w:pPr>
              <w:rPr>
                <w:rFonts w:ascii="Arial" w:eastAsia="Times New Roman" w:hAnsi="Arial" w:cs="Arial"/>
              </w:rPr>
            </w:pPr>
            <w:r w:rsidRPr="0031593B">
              <w:rPr>
                <w:rFonts w:ascii="Arial" w:eastAsia="Times New Roman" w:hAnsi="Arial" w:cs="Arial"/>
              </w:rPr>
              <w:t>Dave Brownlie</w:t>
            </w:r>
          </w:p>
        </w:tc>
        <w:tc>
          <w:tcPr>
            <w:tcW w:w="1920" w:type="dxa"/>
            <w:tcBorders>
              <w:top w:val="nil"/>
              <w:left w:val="nil"/>
              <w:bottom w:val="nil"/>
              <w:right w:val="nil"/>
            </w:tcBorders>
            <w:shd w:val="clear" w:color="000000" w:fill="FFFFFF"/>
            <w:noWrap/>
            <w:vAlign w:val="bottom"/>
            <w:hideMark/>
          </w:tcPr>
          <w:p w14:paraId="066E9554" w14:textId="77777777" w:rsidR="0031593B" w:rsidRPr="0031593B" w:rsidRDefault="0031593B" w:rsidP="0031593B">
            <w:pPr>
              <w:rPr>
                <w:rFonts w:ascii="Arial" w:eastAsia="Times New Roman" w:hAnsi="Arial" w:cs="Arial"/>
              </w:rPr>
            </w:pPr>
            <w:r w:rsidRPr="0031593B">
              <w:rPr>
                <w:rFonts w:ascii="Arial" w:eastAsia="Times New Roman" w:hAnsi="Arial" w:cs="Arial"/>
              </w:rPr>
              <w:t>President/CEO</w:t>
            </w:r>
          </w:p>
        </w:tc>
        <w:tc>
          <w:tcPr>
            <w:tcW w:w="2680" w:type="dxa"/>
            <w:tcBorders>
              <w:top w:val="nil"/>
              <w:left w:val="nil"/>
              <w:bottom w:val="nil"/>
              <w:right w:val="nil"/>
            </w:tcBorders>
            <w:shd w:val="clear" w:color="000000" w:fill="FFFFFF"/>
            <w:noWrap/>
            <w:vAlign w:val="bottom"/>
            <w:hideMark/>
          </w:tcPr>
          <w:p w14:paraId="5B636DFD" w14:textId="77777777" w:rsidR="0031593B" w:rsidRPr="0031593B" w:rsidRDefault="0031593B" w:rsidP="0031593B">
            <w:pPr>
              <w:rPr>
                <w:rFonts w:ascii="Arial" w:eastAsia="Times New Roman" w:hAnsi="Arial" w:cs="Arial"/>
              </w:rPr>
            </w:pPr>
            <w:r w:rsidRPr="0031593B">
              <w:rPr>
                <w:rFonts w:ascii="Arial" w:eastAsia="Times New Roman" w:hAnsi="Arial" w:cs="Arial"/>
              </w:rPr>
              <w:t>26 Years with WB</w:t>
            </w:r>
          </w:p>
        </w:tc>
        <w:tc>
          <w:tcPr>
            <w:tcW w:w="1960" w:type="dxa"/>
            <w:tcBorders>
              <w:top w:val="nil"/>
              <w:left w:val="nil"/>
              <w:bottom w:val="nil"/>
              <w:right w:val="nil"/>
            </w:tcBorders>
            <w:shd w:val="clear" w:color="000000" w:fill="FFFFFF"/>
            <w:noWrap/>
            <w:vAlign w:val="bottom"/>
            <w:hideMark/>
          </w:tcPr>
          <w:p w14:paraId="107F5EC7"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960" w:type="dxa"/>
            <w:tcBorders>
              <w:top w:val="nil"/>
              <w:left w:val="nil"/>
              <w:bottom w:val="nil"/>
              <w:right w:val="nil"/>
            </w:tcBorders>
            <w:shd w:val="clear" w:color="000000" w:fill="FFFFFF"/>
            <w:noWrap/>
            <w:vAlign w:val="bottom"/>
            <w:hideMark/>
          </w:tcPr>
          <w:p w14:paraId="01639FEF"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260" w:type="dxa"/>
            <w:tcBorders>
              <w:top w:val="nil"/>
              <w:left w:val="nil"/>
              <w:bottom w:val="nil"/>
              <w:right w:val="single" w:sz="8" w:space="0" w:color="auto"/>
            </w:tcBorders>
            <w:shd w:val="clear" w:color="000000" w:fill="FFFFFF"/>
            <w:noWrap/>
            <w:vAlign w:val="bottom"/>
            <w:hideMark/>
          </w:tcPr>
          <w:p w14:paraId="65FB4AAB"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r>
      <w:tr w:rsidR="0031593B" w:rsidRPr="0031593B" w14:paraId="5018998F" w14:textId="77777777" w:rsidTr="0031593B">
        <w:trPr>
          <w:trHeight w:val="255"/>
        </w:trPr>
        <w:tc>
          <w:tcPr>
            <w:tcW w:w="2000" w:type="dxa"/>
            <w:tcBorders>
              <w:top w:val="nil"/>
              <w:left w:val="single" w:sz="8" w:space="0" w:color="auto"/>
              <w:bottom w:val="nil"/>
              <w:right w:val="nil"/>
            </w:tcBorders>
            <w:shd w:val="clear" w:color="000000" w:fill="FFFFFF"/>
            <w:noWrap/>
            <w:vAlign w:val="bottom"/>
            <w:hideMark/>
          </w:tcPr>
          <w:p w14:paraId="019709E1" w14:textId="77777777" w:rsidR="0031593B" w:rsidRPr="0031593B" w:rsidRDefault="0031593B" w:rsidP="0031593B">
            <w:pPr>
              <w:rPr>
                <w:rFonts w:ascii="Arial" w:eastAsia="Times New Roman" w:hAnsi="Arial" w:cs="Arial"/>
              </w:rPr>
            </w:pPr>
            <w:r w:rsidRPr="0031593B">
              <w:rPr>
                <w:rFonts w:ascii="Arial" w:eastAsia="Times New Roman" w:hAnsi="Arial" w:cs="Arial"/>
              </w:rPr>
              <w:t>Jeremy Black</w:t>
            </w:r>
          </w:p>
        </w:tc>
        <w:tc>
          <w:tcPr>
            <w:tcW w:w="1920" w:type="dxa"/>
            <w:tcBorders>
              <w:top w:val="nil"/>
              <w:left w:val="nil"/>
              <w:bottom w:val="nil"/>
              <w:right w:val="nil"/>
            </w:tcBorders>
            <w:shd w:val="clear" w:color="000000" w:fill="FFFFFF"/>
            <w:noWrap/>
            <w:vAlign w:val="bottom"/>
            <w:hideMark/>
          </w:tcPr>
          <w:p w14:paraId="1A62AD85" w14:textId="77777777" w:rsidR="0031593B" w:rsidRPr="0031593B" w:rsidRDefault="0031593B" w:rsidP="0031593B">
            <w:pPr>
              <w:rPr>
                <w:rFonts w:ascii="Arial" w:eastAsia="Times New Roman" w:hAnsi="Arial" w:cs="Arial"/>
              </w:rPr>
            </w:pPr>
            <w:r w:rsidRPr="0031593B">
              <w:rPr>
                <w:rFonts w:ascii="Arial" w:eastAsia="Times New Roman" w:hAnsi="Arial" w:cs="Arial"/>
              </w:rPr>
              <w:t>CFO</w:t>
            </w:r>
          </w:p>
        </w:tc>
        <w:tc>
          <w:tcPr>
            <w:tcW w:w="6600" w:type="dxa"/>
            <w:gridSpan w:val="3"/>
            <w:tcBorders>
              <w:top w:val="nil"/>
              <w:left w:val="nil"/>
              <w:bottom w:val="nil"/>
              <w:right w:val="nil"/>
            </w:tcBorders>
            <w:shd w:val="clear" w:color="000000" w:fill="FFFFFF"/>
            <w:noWrap/>
            <w:vAlign w:val="bottom"/>
            <w:hideMark/>
          </w:tcPr>
          <w:p w14:paraId="56A7844F" w14:textId="77777777" w:rsidR="0031593B" w:rsidRPr="0031593B" w:rsidRDefault="0031593B" w:rsidP="0031593B">
            <w:pPr>
              <w:rPr>
                <w:rFonts w:ascii="Arial" w:eastAsia="Times New Roman" w:hAnsi="Arial" w:cs="Arial"/>
              </w:rPr>
            </w:pPr>
            <w:r w:rsidRPr="0031593B">
              <w:rPr>
                <w:rFonts w:ascii="Arial" w:eastAsia="Times New Roman" w:hAnsi="Arial" w:cs="Arial"/>
              </w:rPr>
              <w:t>3 Years with WB, Senior Management at Richie Brother, KPMG</w:t>
            </w:r>
          </w:p>
        </w:tc>
        <w:tc>
          <w:tcPr>
            <w:tcW w:w="1260" w:type="dxa"/>
            <w:tcBorders>
              <w:top w:val="nil"/>
              <w:left w:val="nil"/>
              <w:bottom w:val="nil"/>
              <w:right w:val="single" w:sz="8" w:space="0" w:color="auto"/>
            </w:tcBorders>
            <w:shd w:val="clear" w:color="000000" w:fill="FFFFFF"/>
            <w:noWrap/>
            <w:vAlign w:val="bottom"/>
            <w:hideMark/>
          </w:tcPr>
          <w:p w14:paraId="738BAA7E"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r>
      <w:tr w:rsidR="0031593B" w:rsidRPr="0031593B" w14:paraId="4156D382" w14:textId="77777777" w:rsidTr="0031593B">
        <w:trPr>
          <w:trHeight w:val="270"/>
        </w:trPr>
        <w:tc>
          <w:tcPr>
            <w:tcW w:w="2000" w:type="dxa"/>
            <w:tcBorders>
              <w:top w:val="nil"/>
              <w:left w:val="single" w:sz="8" w:space="0" w:color="auto"/>
              <w:bottom w:val="single" w:sz="8" w:space="0" w:color="auto"/>
              <w:right w:val="nil"/>
            </w:tcBorders>
            <w:shd w:val="clear" w:color="000000" w:fill="FFFFFF"/>
            <w:noWrap/>
            <w:vAlign w:val="bottom"/>
            <w:hideMark/>
          </w:tcPr>
          <w:p w14:paraId="5AC7F178" w14:textId="77777777" w:rsidR="0031593B" w:rsidRPr="0031593B" w:rsidRDefault="0031593B" w:rsidP="0031593B">
            <w:pPr>
              <w:rPr>
                <w:rFonts w:ascii="Arial" w:eastAsia="Times New Roman" w:hAnsi="Arial" w:cs="Arial"/>
              </w:rPr>
            </w:pPr>
            <w:r w:rsidRPr="0031593B">
              <w:rPr>
                <w:rFonts w:ascii="Arial" w:eastAsia="Times New Roman" w:hAnsi="Arial" w:cs="Arial"/>
              </w:rPr>
              <w:t>Stuart Rempel</w:t>
            </w:r>
          </w:p>
        </w:tc>
        <w:tc>
          <w:tcPr>
            <w:tcW w:w="1920" w:type="dxa"/>
            <w:tcBorders>
              <w:top w:val="nil"/>
              <w:left w:val="nil"/>
              <w:bottom w:val="single" w:sz="8" w:space="0" w:color="auto"/>
              <w:right w:val="nil"/>
            </w:tcBorders>
            <w:shd w:val="clear" w:color="000000" w:fill="FFFFFF"/>
            <w:noWrap/>
            <w:vAlign w:val="bottom"/>
            <w:hideMark/>
          </w:tcPr>
          <w:p w14:paraId="43875F5C" w14:textId="77777777" w:rsidR="0031593B" w:rsidRPr="0031593B" w:rsidRDefault="0031593B" w:rsidP="0031593B">
            <w:pPr>
              <w:rPr>
                <w:rFonts w:ascii="Arial" w:eastAsia="Times New Roman" w:hAnsi="Arial" w:cs="Arial"/>
              </w:rPr>
            </w:pPr>
            <w:r w:rsidRPr="0031593B">
              <w:rPr>
                <w:rFonts w:ascii="Arial" w:eastAsia="Times New Roman" w:hAnsi="Arial" w:cs="Arial"/>
              </w:rPr>
              <w:t>Senior VP, Marketing</w:t>
            </w:r>
          </w:p>
        </w:tc>
        <w:tc>
          <w:tcPr>
            <w:tcW w:w="7860" w:type="dxa"/>
            <w:gridSpan w:val="4"/>
            <w:tcBorders>
              <w:top w:val="nil"/>
              <w:left w:val="nil"/>
              <w:bottom w:val="single" w:sz="8" w:space="0" w:color="auto"/>
              <w:right w:val="single" w:sz="8" w:space="0" w:color="000000"/>
            </w:tcBorders>
            <w:shd w:val="clear" w:color="000000" w:fill="FFFFFF"/>
            <w:noWrap/>
            <w:vAlign w:val="bottom"/>
            <w:hideMark/>
          </w:tcPr>
          <w:p w14:paraId="3B62334D" w14:textId="77777777" w:rsidR="0031593B" w:rsidRPr="0031593B" w:rsidRDefault="0031593B" w:rsidP="0031593B">
            <w:pPr>
              <w:rPr>
                <w:rFonts w:ascii="Arial" w:eastAsia="Times New Roman" w:hAnsi="Arial" w:cs="Arial"/>
              </w:rPr>
            </w:pPr>
            <w:r w:rsidRPr="0031593B">
              <w:rPr>
                <w:rFonts w:ascii="Arial" w:eastAsia="Times New Roman" w:hAnsi="Arial" w:cs="Arial"/>
              </w:rPr>
              <w:t>16 Years with WB, 40 years of industry experience, Director at Saloman NA.</w:t>
            </w:r>
          </w:p>
        </w:tc>
      </w:tr>
      <w:tr w:rsidR="0031593B" w:rsidRPr="0031593B" w14:paraId="107C8D63" w14:textId="77777777" w:rsidTr="0031593B">
        <w:trPr>
          <w:trHeight w:val="255"/>
        </w:trPr>
        <w:tc>
          <w:tcPr>
            <w:tcW w:w="2000" w:type="dxa"/>
            <w:tcBorders>
              <w:top w:val="nil"/>
              <w:left w:val="single" w:sz="8" w:space="0" w:color="auto"/>
              <w:bottom w:val="nil"/>
              <w:right w:val="nil"/>
            </w:tcBorders>
            <w:shd w:val="clear" w:color="000000" w:fill="203764"/>
            <w:noWrap/>
            <w:vAlign w:val="bottom"/>
            <w:hideMark/>
          </w:tcPr>
          <w:p w14:paraId="3AFD0775" w14:textId="77777777" w:rsidR="0031593B" w:rsidRPr="0031593B" w:rsidRDefault="0031593B" w:rsidP="0031593B">
            <w:pPr>
              <w:rPr>
                <w:rFonts w:ascii="Arial" w:eastAsia="Times New Roman" w:hAnsi="Arial" w:cs="Arial"/>
                <w:b/>
                <w:bCs/>
                <w:color w:val="FFFFFF"/>
              </w:rPr>
            </w:pPr>
            <w:r w:rsidRPr="0031593B">
              <w:rPr>
                <w:rFonts w:ascii="Arial" w:eastAsia="Times New Roman" w:hAnsi="Arial" w:cs="Arial"/>
                <w:b/>
                <w:bCs/>
                <w:color w:val="FFFFFF"/>
              </w:rPr>
              <w:t>Board of Directors</w:t>
            </w:r>
          </w:p>
        </w:tc>
        <w:tc>
          <w:tcPr>
            <w:tcW w:w="1920" w:type="dxa"/>
            <w:tcBorders>
              <w:top w:val="nil"/>
              <w:left w:val="nil"/>
              <w:bottom w:val="nil"/>
              <w:right w:val="nil"/>
            </w:tcBorders>
            <w:shd w:val="clear" w:color="000000" w:fill="203764"/>
            <w:noWrap/>
            <w:vAlign w:val="bottom"/>
            <w:hideMark/>
          </w:tcPr>
          <w:p w14:paraId="1813D631" w14:textId="77777777" w:rsidR="0031593B" w:rsidRPr="0031593B" w:rsidRDefault="0031593B" w:rsidP="0031593B">
            <w:pPr>
              <w:rPr>
                <w:rFonts w:ascii="Arial" w:eastAsia="Times New Roman" w:hAnsi="Arial" w:cs="Arial"/>
                <w:b/>
                <w:bCs/>
                <w:color w:val="FFFFFF"/>
              </w:rPr>
            </w:pPr>
            <w:r w:rsidRPr="0031593B">
              <w:rPr>
                <w:rFonts w:ascii="Arial" w:eastAsia="Times New Roman" w:hAnsi="Arial" w:cs="Arial"/>
                <w:b/>
                <w:bCs/>
                <w:color w:val="FFFFFF"/>
              </w:rPr>
              <w:t>Position</w:t>
            </w:r>
          </w:p>
        </w:tc>
        <w:tc>
          <w:tcPr>
            <w:tcW w:w="2680" w:type="dxa"/>
            <w:tcBorders>
              <w:top w:val="nil"/>
              <w:left w:val="nil"/>
              <w:bottom w:val="nil"/>
              <w:right w:val="nil"/>
            </w:tcBorders>
            <w:shd w:val="clear" w:color="000000" w:fill="203764"/>
            <w:noWrap/>
            <w:vAlign w:val="bottom"/>
            <w:hideMark/>
          </w:tcPr>
          <w:p w14:paraId="4C0CE29A" w14:textId="77777777" w:rsidR="0031593B" w:rsidRPr="0031593B" w:rsidRDefault="0031593B" w:rsidP="0031593B">
            <w:pPr>
              <w:rPr>
                <w:rFonts w:ascii="Arial" w:eastAsia="Times New Roman" w:hAnsi="Arial" w:cs="Arial"/>
                <w:b/>
                <w:bCs/>
                <w:color w:val="FFFFFF"/>
              </w:rPr>
            </w:pPr>
            <w:r w:rsidRPr="0031593B">
              <w:rPr>
                <w:rFonts w:ascii="Arial" w:eastAsia="Times New Roman" w:hAnsi="Arial" w:cs="Arial"/>
                <w:b/>
                <w:bCs/>
                <w:color w:val="FFFFFF"/>
              </w:rPr>
              <w:t>Experience</w:t>
            </w:r>
          </w:p>
        </w:tc>
        <w:tc>
          <w:tcPr>
            <w:tcW w:w="1960" w:type="dxa"/>
            <w:tcBorders>
              <w:top w:val="nil"/>
              <w:left w:val="nil"/>
              <w:bottom w:val="nil"/>
              <w:right w:val="nil"/>
            </w:tcBorders>
            <w:shd w:val="clear" w:color="000000" w:fill="203764"/>
            <w:noWrap/>
            <w:vAlign w:val="bottom"/>
            <w:hideMark/>
          </w:tcPr>
          <w:p w14:paraId="255E0EC1" w14:textId="77777777" w:rsidR="0031593B" w:rsidRPr="0031593B" w:rsidRDefault="0031593B" w:rsidP="0031593B">
            <w:pPr>
              <w:rPr>
                <w:rFonts w:ascii="Arial" w:eastAsia="Times New Roman" w:hAnsi="Arial" w:cs="Arial"/>
                <w:color w:val="FFFFFF"/>
              </w:rPr>
            </w:pPr>
            <w:r w:rsidRPr="0031593B">
              <w:rPr>
                <w:rFonts w:ascii="Arial" w:eastAsia="Times New Roman" w:hAnsi="Arial" w:cs="Arial"/>
                <w:color w:val="FFFFFF"/>
              </w:rPr>
              <w:t> </w:t>
            </w:r>
          </w:p>
        </w:tc>
        <w:tc>
          <w:tcPr>
            <w:tcW w:w="1960" w:type="dxa"/>
            <w:tcBorders>
              <w:top w:val="nil"/>
              <w:left w:val="nil"/>
              <w:bottom w:val="nil"/>
              <w:right w:val="nil"/>
            </w:tcBorders>
            <w:shd w:val="clear" w:color="000000" w:fill="203764"/>
            <w:noWrap/>
            <w:vAlign w:val="bottom"/>
            <w:hideMark/>
          </w:tcPr>
          <w:p w14:paraId="2468CFAB" w14:textId="77777777" w:rsidR="0031593B" w:rsidRPr="0031593B" w:rsidRDefault="0031593B" w:rsidP="0031593B">
            <w:pPr>
              <w:rPr>
                <w:rFonts w:ascii="Arial" w:eastAsia="Times New Roman" w:hAnsi="Arial" w:cs="Arial"/>
                <w:color w:val="FFFFFF"/>
              </w:rPr>
            </w:pPr>
            <w:r w:rsidRPr="0031593B">
              <w:rPr>
                <w:rFonts w:ascii="Arial" w:eastAsia="Times New Roman" w:hAnsi="Arial" w:cs="Arial"/>
                <w:color w:val="FFFFFF"/>
              </w:rPr>
              <w:t> </w:t>
            </w:r>
          </w:p>
        </w:tc>
        <w:tc>
          <w:tcPr>
            <w:tcW w:w="1260" w:type="dxa"/>
            <w:tcBorders>
              <w:top w:val="nil"/>
              <w:left w:val="nil"/>
              <w:bottom w:val="nil"/>
              <w:right w:val="single" w:sz="8" w:space="0" w:color="auto"/>
            </w:tcBorders>
            <w:shd w:val="clear" w:color="000000" w:fill="203764"/>
            <w:noWrap/>
            <w:vAlign w:val="bottom"/>
            <w:hideMark/>
          </w:tcPr>
          <w:p w14:paraId="63F38685" w14:textId="77777777" w:rsidR="0031593B" w:rsidRPr="0031593B" w:rsidRDefault="0031593B" w:rsidP="0031593B">
            <w:pPr>
              <w:rPr>
                <w:rFonts w:ascii="Arial" w:eastAsia="Times New Roman" w:hAnsi="Arial" w:cs="Arial"/>
                <w:color w:val="FFFFFF"/>
              </w:rPr>
            </w:pPr>
            <w:r w:rsidRPr="0031593B">
              <w:rPr>
                <w:rFonts w:ascii="Arial" w:eastAsia="Times New Roman" w:hAnsi="Arial" w:cs="Arial"/>
                <w:color w:val="FFFFFF"/>
              </w:rPr>
              <w:t> </w:t>
            </w:r>
          </w:p>
        </w:tc>
      </w:tr>
      <w:tr w:rsidR="0031593B" w:rsidRPr="0031593B" w14:paraId="2A5FBD09" w14:textId="77777777" w:rsidTr="0031593B">
        <w:trPr>
          <w:trHeight w:val="255"/>
        </w:trPr>
        <w:tc>
          <w:tcPr>
            <w:tcW w:w="2000" w:type="dxa"/>
            <w:tcBorders>
              <w:top w:val="nil"/>
              <w:left w:val="single" w:sz="8" w:space="0" w:color="auto"/>
              <w:bottom w:val="nil"/>
              <w:right w:val="nil"/>
            </w:tcBorders>
            <w:shd w:val="clear" w:color="000000" w:fill="FFFFFF"/>
            <w:noWrap/>
            <w:vAlign w:val="bottom"/>
            <w:hideMark/>
          </w:tcPr>
          <w:p w14:paraId="1548C61D" w14:textId="77777777" w:rsidR="0031593B" w:rsidRPr="0031593B" w:rsidRDefault="0031593B" w:rsidP="0031593B">
            <w:pPr>
              <w:rPr>
                <w:rFonts w:ascii="Arial" w:eastAsia="Times New Roman" w:hAnsi="Arial" w:cs="Arial"/>
              </w:rPr>
            </w:pPr>
            <w:r w:rsidRPr="0031593B">
              <w:rPr>
                <w:rFonts w:ascii="Arial" w:eastAsia="Times New Roman" w:hAnsi="Arial" w:cs="Arial"/>
              </w:rPr>
              <w:t>Graham Savage</w:t>
            </w:r>
          </w:p>
        </w:tc>
        <w:tc>
          <w:tcPr>
            <w:tcW w:w="1920" w:type="dxa"/>
            <w:tcBorders>
              <w:top w:val="nil"/>
              <w:left w:val="nil"/>
              <w:bottom w:val="nil"/>
              <w:right w:val="nil"/>
            </w:tcBorders>
            <w:shd w:val="clear" w:color="000000" w:fill="FFFFFF"/>
            <w:noWrap/>
            <w:vAlign w:val="bottom"/>
            <w:hideMark/>
          </w:tcPr>
          <w:p w14:paraId="23E51463" w14:textId="77777777" w:rsidR="0031593B" w:rsidRPr="0031593B" w:rsidRDefault="0031593B" w:rsidP="0031593B">
            <w:pPr>
              <w:rPr>
                <w:rFonts w:ascii="Arial" w:eastAsia="Times New Roman" w:hAnsi="Arial" w:cs="Arial"/>
              </w:rPr>
            </w:pPr>
            <w:r w:rsidRPr="0031593B">
              <w:rPr>
                <w:rFonts w:ascii="Arial" w:eastAsia="Times New Roman" w:hAnsi="Arial" w:cs="Arial"/>
              </w:rPr>
              <w:t>Chairman</w:t>
            </w:r>
          </w:p>
        </w:tc>
        <w:tc>
          <w:tcPr>
            <w:tcW w:w="6600" w:type="dxa"/>
            <w:gridSpan w:val="3"/>
            <w:tcBorders>
              <w:top w:val="nil"/>
              <w:left w:val="nil"/>
              <w:bottom w:val="nil"/>
              <w:right w:val="nil"/>
            </w:tcBorders>
            <w:shd w:val="clear" w:color="000000" w:fill="FFFFFF"/>
            <w:noWrap/>
            <w:vAlign w:val="bottom"/>
            <w:hideMark/>
          </w:tcPr>
          <w:p w14:paraId="264BE93E" w14:textId="77777777" w:rsidR="0031593B" w:rsidRPr="0031593B" w:rsidRDefault="0031593B" w:rsidP="0031593B">
            <w:pPr>
              <w:rPr>
                <w:rFonts w:ascii="Arial" w:eastAsia="Times New Roman" w:hAnsi="Arial" w:cs="Arial"/>
              </w:rPr>
            </w:pPr>
            <w:r w:rsidRPr="0031593B">
              <w:rPr>
                <w:rFonts w:ascii="Arial" w:eastAsia="Times New Roman" w:hAnsi="Arial" w:cs="Arial"/>
              </w:rPr>
              <w:t>21 years with Rogers, CFO of Rogers from 1989-1996</w:t>
            </w:r>
          </w:p>
        </w:tc>
        <w:tc>
          <w:tcPr>
            <w:tcW w:w="1260" w:type="dxa"/>
            <w:tcBorders>
              <w:top w:val="nil"/>
              <w:left w:val="nil"/>
              <w:bottom w:val="nil"/>
              <w:right w:val="single" w:sz="8" w:space="0" w:color="auto"/>
            </w:tcBorders>
            <w:shd w:val="clear" w:color="000000" w:fill="FFFFFF"/>
            <w:noWrap/>
            <w:vAlign w:val="bottom"/>
            <w:hideMark/>
          </w:tcPr>
          <w:p w14:paraId="493FA9BE"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r>
      <w:tr w:rsidR="0031593B" w:rsidRPr="0031593B" w14:paraId="6F8D6181" w14:textId="77777777" w:rsidTr="0031593B">
        <w:trPr>
          <w:trHeight w:val="255"/>
        </w:trPr>
        <w:tc>
          <w:tcPr>
            <w:tcW w:w="2000" w:type="dxa"/>
            <w:tcBorders>
              <w:top w:val="nil"/>
              <w:left w:val="single" w:sz="8" w:space="0" w:color="auto"/>
              <w:bottom w:val="nil"/>
              <w:right w:val="nil"/>
            </w:tcBorders>
            <w:shd w:val="clear" w:color="000000" w:fill="FFFFFF"/>
            <w:noWrap/>
            <w:vAlign w:val="bottom"/>
            <w:hideMark/>
          </w:tcPr>
          <w:p w14:paraId="35E3C209" w14:textId="77777777" w:rsidR="0031593B" w:rsidRPr="0031593B" w:rsidRDefault="0031593B" w:rsidP="0031593B">
            <w:pPr>
              <w:rPr>
                <w:rFonts w:ascii="Arial" w:eastAsia="Times New Roman" w:hAnsi="Arial" w:cs="Arial"/>
              </w:rPr>
            </w:pPr>
            <w:r w:rsidRPr="0031593B">
              <w:rPr>
                <w:rFonts w:ascii="Arial" w:eastAsia="Times New Roman" w:hAnsi="Arial" w:cs="Arial"/>
              </w:rPr>
              <w:t>Dave Brownlie</w:t>
            </w:r>
          </w:p>
        </w:tc>
        <w:tc>
          <w:tcPr>
            <w:tcW w:w="1920" w:type="dxa"/>
            <w:tcBorders>
              <w:top w:val="nil"/>
              <w:left w:val="nil"/>
              <w:bottom w:val="nil"/>
              <w:right w:val="nil"/>
            </w:tcBorders>
            <w:shd w:val="clear" w:color="000000" w:fill="FFFFFF"/>
            <w:noWrap/>
            <w:vAlign w:val="bottom"/>
            <w:hideMark/>
          </w:tcPr>
          <w:p w14:paraId="7D979CD8" w14:textId="77777777" w:rsidR="0031593B" w:rsidRPr="0031593B" w:rsidRDefault="0031593B" w:rsidP="0031593B">
            <w:pPr>
              <w:rPr>
                <w:rFonts w:ascii="Arial" w:eastAsia="Times New Roman" w:hAnsi="Arial" w:cs="Arial"/>
              </w:rPr>
            </w:pPr>
            <w:r w:rsidRPr="0031593B">
              <w:rPr>
                <w:rFonts w:ascii="Arial" w:eastAsia="Times New Roman" w:hAnsi="Arial" w:cs="Arial"/>
              </w:rPr>
              <w:t>President/CEO</w:t>
            </w:r>
          </w:p>
        </w:tc>
        <w:tc>
          <w:tcPr>
            <w:tcW w:w="2680" w:type="dxa"/>
            <w:tcBorders>
              <w:top w:val="nil"/>
              <w:left w:val="nil"/>
              <w:bottom w:val="nil"/>
              <w:right w:val="nil"/>
            </w:tcBorders>
            <w:shd w:val="clear" w:color="000000" w:fill="FFFFFF"/>
            <w:noWrap/>
            <w:vAlign w:val="bottom"/>
            <w:hideMark/>
          </w:tcPr>
          <w:p w14:paraId="3C6918E8" w14:textId="77777777" w:rsidR="0031593B" w:rsidRPr="0031593B" w:rsidRDefault="0031593B" w:rsidP="0031593B">
            <w:pPr>
              <w:rPr>
                <w:rFonts w:ascii="Arial" w:eastAsia="Times New Roman" w:hAnsi="Arial" w:cs="Arial"/>
              </w:rPr>
            </w:pPr>
            <w:r w:rsidRPr="0031593B">
              <w:rPr>
                <w:rFonts w:ascii="Arial" w:eastAsia="Times New Roman" w:hAnsi="Arial" w:cs="Arial"/>
              </w:rPr>
              <w:t>26 Years with WB</w:t>
            </w:r>
          </w:p>
        </w:tc>
        <w:tc>
          <w:tcPr>
            <w:tcW w:w="1960" w:type="dxa"/>
            <w:tcBorders>
              <w:top w:val="nil"/>
              <w:left w:val="nil"/>
              <w:bottom w:val="nil"/>
              <w:right w:val="nil"/>
            </w:tcBorders>
            <w:shd w:val="clear" w:color="000000" w:fill="FFFFFF"/>
            <w:noWrap/>
            <w:vAlign w:val="bottom"/>
            <w:hideMark/>
          </w:tcPr>
          <w:p w14:paraId="26ED61A9"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960" w:type="dxa"/>
            <w:tcBorders>
              <w:top w:val="nil"/>
              <w:left w:val="nil"/>
              <w:bottom w:val="nil"/>
              <w:right w:val="nil"/>
            </w:tcBorders>
            <w:shd w:val="clear" w:color="000000" w:fill="FFFFFF"/>
            <w:noWrap/>
            <w:vAlign w:val="bottom"/>
            <w:hideMark/>
          </w:tcPr>
          <w:p w14:paraId="7BC86104"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260" w:type="dxa"/>
            <w:tcBorders>
              <w:top w:val="nil"/>
              <w:left w:val="nil"/>
              <w:bottom w:val="nil"/>
              <w:right w:val="single" w:sz="8" w:space="0" w:color="auto"/>
            </w:tcBorders>
            <w:shd w:val="clear" w:color="000000" w:fill="FFFFFF"/>
            <w:noWrap/>
            <w:vAlign w:val="bottom"/>
            <w:hideMark/>
          </w:tcPr>
          <w:p w14:paraId="513EC160"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r>
      <w:tr w:rsidR="0031593B" w:rsidRPr="0031593B" w14:paraId="5A178041" w14:textId="77777777" w:rsidTr="0031593B">
        <w:trPr>
          <w:trHeight w:val="255"/>
        </w:trPr>
        <w:tc>
          <w:tcPr>
            <w:tcW w:w="2000" w:type="dxa"/>
            <w:tcBorders>
              <w:top w:val="nil"/>
              <w:left w:val="single" w:sz="8" w:space="0" w:color="auto"/>
              <w:bottom w:val="nil"/>
              <w:right w:val="nil"/>
            </w:tcBorders>
            <w:shd w:val="clear" w:color="000000" w:fill="FFFFFF"/>
            <w:noWrap/>
            <w:vAlign w:val="bottom"/>
            <w:hideMark/>
          </w:tcPr>
          <w:p w14:paraId="1DE285B4" w14:textId="77777777" w:rsidR="0031593B" w:rsidRPr="0031593B" w:rsidRDefault="0031593B" w:rsidP="0031593B">
            <w:pPr>
              <w:rPr>
                <w:rFonts w:ascii="Arial" w:eastAsia="Times New Roman" w:hAnsi="Arial" w:cs="Arial"/>
              </w:rPr>
            </w:pPr>
            <w:r w:rsidRPr="0031593B">
              <w:rPr>
                <w:rFonts w:ascii="Arial" w:eastAsia="Times New Roman" w:hAnsi="Arial" w:cs="Arial"/>
              </w:rPr>
              <w:t>John Furlong</w:t>
            </w:r>
          </w:p>
        </w:tc>
        <w:tc>
          <w:tcPr>
            <w:tcW w:w="1920" w:type="dxa"/>
            <w:tcBorders>
              <w:top w:val="nil"/>
              <w:left w:val="nil"/>
              <w:bottom w:val="nil"/>
              <w:right w:val="nil"/>
            </w:tcBorders>
            <w:shd w:val="clear" w:color="000000" w:fill="FFFFFF"/>
            <w:noWrap/>
            <w:vAlign w:val="bottom"/>
            <w:hideMark/>
          </w:tcPr>
          <w:p w14:paraId="16301D57" w14:textId="77777777" w:rsidR="0031593B" w:rsidRPr="0031593B" w:rsidRDefault="0031593B" w:rsidP="0031593B">
            <w:pPr>
              <w:rPr>
                <w:rFonts w:ascii="Arial" w:eastAsia="Times New Roman" w:hAnsi="Arial" w:cs="Arial"/>
              </w:rPr>
            </w:pPr>
            <w:r w:rsidRPr="0031593B">
              <w:rPr>
                <w:rFonts w:ascii="Arial" w:eastAsia="Times New Roman" w:hAnsi="Arial" w:cs="Arial"/>
              </w:rPr>
              <w:t>Director</w:t>
            </w:r>
          </w:p>
        </w:tc>
        <w:tc>
          <w:tcPr>
            <w:tcW w:w="7860" w:type="dxa"/>
            <w:gridSpan w:val="4"/>
            <w:tcBorders>
              <w:top w:val="nil"/>
              <w:left w:val="nil"/>
              <w:bottom w:val="nil"/>
              <w:right w:val="single" w:sz="8" w:space="0" w:color="000000"/>
            </w:tcBorders>
            <w:shd w:val="clear" w:color="000000" w:fill="FFFFFF"/>
            <w:noWrap/>
            <w:vAlign w:val="bottom"/>
            <w:hideMark/>
          </w:tcPr>
          <w:p w14:paraId="4EE24901" w14:textId="77777777" w:rsidR="0031593B" w:rsidRPr="0031593B" w:rsidRDefault="0031593B" w:rsidP="0031593B">
            <w:pPr>
              <w:rPr>
                <w:rFonts w:ascii="Arial" w:eastAsia="Times New Roman" w:hAnsi="Arial" w:cs="Arial"/>
              </w:rPr>
            </w:pPr>
            <w:r w:rsidRPr="0031593B">
              <w:rPr>
                <w:rFonts w:ascii="Arial" w:eastAsia="Times New Roman" w:hAnsi="Arial" w:cs="Arial"/>
              </w:rPr>
              <w:t>Athlete, CEO of VANOC, President/CEO for Vancouver 2010 Olympic Bid Committee</w:t>
            </w:r>
          </w:p>
        </w:tc>
      </w:tr>
      <w:tr w:rsidR="0031593B" w:rsidRPr="0031593B" w14:paraId="7D03C020" w14:textId="77777777" w:rsidTr="0031593B">
        <w:trPr>
          <w:trHeight w:val="255"/>
        </w:trPr>
        <w:tc>
          <w:tcPr>
            <w:tcW w:w="2000" w:type="dxa"/>
            <w:tcBorders>
              <w:top w:val="nil"/>
              <w:left w:val="single" w:sz="8" w:space="0" w:color="auto"/>
              <w:bottom w:val="nil"/>
              <w:right w:val="nil"/>
            </w:tcBorders>
            <w:shd w:val="clear" w:color="000000" w:fill="FFFFFF"/>
            <w:noWrap/>
            <w:vAlign w:val="bottom"/>
            <w:hideMark/>
          </w:tcPr>
          <w:p w14:paraId="52A03619" w14:textId="77777777" w:rsidR="0031593B" w:rsidRPr="0031593B" w:rsidRDefault="0031593B" w:rsidP="0031593B">
            <w:pPr>
              <w:rPr>
                <w:rFonts w:ascii="Arial" w:eastAsia="Times New Roman" w:hAnsi="Arial" w:cs="Arial"/>
              </w:rPr>
            </w:pPr>
            <w:r w:rsidRPr="0031593B">
              <w:rPr>
                <w:rFonts w:ascii="Arial" w:eastAsia="Times New Roman" w:hAnsi="Arial" w:cs="Arial"/>
              </w:rPr>
              <w:t>Russell Goodman</w:t>
            </w:r>
          </w:p>
        </w:tc>
        <w:tc>
          <w:tcPr>
            <w:tcW w:w="1920" w:type="dxa"/>
            <w:tcBorders>
              <w:top w:val="nil"/>
              <w:left w:val="nil"/>
              <w:bottom w:val="nil"/>
              <w:right w:val="nil"/>
            </w:tcBorders>
            <w:shd w:val="clear" w:color="000000" w:fill="FFFFFF"/>
            <w:noWrap/>
            <w:vAlign w:val="bottom"/>
            <w:hideMark/>
          </w:tcPr>
          <w:p w14:paraId="674839EB" w14:textId="77777777" w:rsidR="0031593B" w:rsidRPr="0031593B" w:rsidRDefault="0031593B" w:rsidP="0031593B">
            <w:pPr>
              <w:rPr>
                <w:rFonts w:ascii="Arial" w:eastAsia="Times New Roman" w:hAnsi="Arial" w:cs="Arial"/>
              </w:rPr>
            </w:pPr>
            <w:r w:rsidRPr="0031593B">
              <w:rPr>
                <w:rFonts w:ascii="Arial" w:eastAsia="Times New Roman" w:hAnsi="Arial" w:cs="Arial"/>
              </w:rPr>
              <w:t>Director</w:t>
            </w:r>
          </w:p>
        </w:tc>
        <w:tc>
          <w:tcPr>
            <w:tcW w:w="4640" w:type="dxa"/>
            <w:gridSpan w:val="2"/>
            <w:tcBorders>
              <w:top w:val="nil"/>
              <w:left w:val="nil"/>
              <w:bottom w:val="nil"/>
              <w:right w:val="nil"/>
            </w:tcBorders>
            <w:shd w:val="clear" w:color="000000" w:fill="FFFFFF"/>
            <w:noWrap/>
            <w:vAlign w:val="bottom"/>
            <w:hideMark/>
          </w:tcPr>
          <w:p w14:paraId="58E2C83B" w14:textId="77777777" w:rsidR="0031593B" w:rsidRPr="0031593B" w:rsidRDefault="0031593B" w:rsidP="0031593B">
            <w:pPr>
              <w:rPr>
                <w:rFonts w:ascii="Arial" w:eastAsia="Times New Roman" w:hAnsi="Arial" w:cs="Arial"/>
              </w:rPr>
            </w:pPr>
            <w:r w:rsidRPr="0031593B">
              <w:rPr>
                <w:rFonts w:ascii="Arial" w:eastAsia="Times New Roman" w:hAnsi="Arial" w:cs="Arial"/>
              </w:rPr>
              <w:t>Audit Committee, PWC Partner</w:t>
            </w:r>
          </w:p>
        </w:tc>
        <w:tc>
          <w:tcPr>
            <w:tcW w:w="1960" w:type="dxa"/>
            <w:tcBorders>
              <w:top w:val="nil"/>
              <w:left w:val="nil"/>
              <w:bottom w:val="nil"/>
              <w:right w:val="nil"/>
            </w:tcBorders>
            <w:shd w:val="clear" w:color="000000" w:fill="FFFFFF"/>
            <w:noWrap/>
            <w:vAlign w:val="bottom"/>
            <w:hideMark/>
          </w:tcPr>
          <w:p w14:paraId="0F2873CD"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260" w:type="dxa"/>
            <w:tcBorders>
              <w:top w:val="nil"/>
              <w:left w:val="nil"/>
              <w:bottom w:val="nil"/>
              <w:right w:val="single" w:sz="8" w:space="0" w:color="auto"/>
            </w:tcBorders>
            <w:shd w:val="clear" w:color="000000" w:fill="FFFFFF"/>
            <w:noWrap/>
            <w:vAlign w:val="bottom"/>
            <w:hideMark/>
          </w:tcPr>
          <w:p w14:paraId="1DEF3653"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r>
      <w:tr w:rsidR="0031593B" w:rsidRPr="0031593B" w14:paraId="3711D955" w14:textId="77777777" w:rsidTr="0031593B">
        <w:trPr>
          <w:trHeight w:val="255"/>
        </w:trPr>
        <w:tc>
          <w:tcPr>
            <w:tcW w:w="2000" w:type="dxa"/>
            <w:tcBorders>
              <w:top w:val="nil"/>
              <w:left w:val="single" w:sz="8" w:space="0" w:color="auto"/>
              <w:bottom w:val="nil"/>
              <w:right w:val="nil"/>
            </w:tcBorders>
            <w:shd w:val="clear" w:color="000000" w:fill="FFFFFF"/>
            <w:noWrap/>
            <w:vAlign w:val="bottom"/>
            <w:hideMark/>
          </w:tcPr>
          <w:p w14:paraId="13EE91C0" w14:textId="77777777" w:rsidR="0031593B" w:rsidRPr="0031593B" w:rsidRDefault="0031593B" w:rsidP="0031593B">
            <w:pPr>
              <w:rPr>
                <w:rFonts w:ascii="Arial" w:eastAsia="Times New Roman" w:hAnsi="Arial" w:cs="Arial"/>
              </w:rPr>
            </w:pPr>
            <w:r w:rsidRPr="0031593B">
              <w:rPr>
                <w:rFonts w:ascii="Arial" w:eastAsia="Times New Roman" w:hAnsi="Arial" w:cs="Arial"/>
              </w:rPr>
              <w:t>Scott Hutcheson</w:t>
            </w:r>
          </w:p>
        </w:tc>
        <w:tc>
          <w:tcPr>
            <w:tcW w:w="1920" w:type="dxa"/>
            <w:tcBorders>
              <w:top w:val="nil"/>
              <w:left w:val="nil"/>
              <w:bottom w:val="nil"/>
              <w:right w:val="nil"/>
            </w:tcBorders>
            <w:shd w:val="clear" w:color="000000" w:fill="FFFFFF"/>
            <w:noWrap/>
            <w:vAlign w:val="bottom"/>
            <w:hideMark/>
          </w:tcPr>
          <w:p w14:paraId="425A2B9F" w14:textId="77777777" w:rsidR="0031593B" w:rsidRPr="0031593B" w:rsidRDefault="0031593B" w:rsidP="0031593B">
            <w:pPr>
              <w:rPr>
                <w:rFonts w:ascii="Arial" w:eastAsia="Times New Roman" w:hAnsi="Arial" w:cs="Arial"/>
              </w:rPr>
            </w:pPr>
            <w:r w:rsidRPr="0031593B">
              <w:rPr>
                <w:rFonts w:ascii="Arial" w:eastAsia="Times New Roman" w:hAnsi="Arial" w:cs="Arial"/>
              </w:rPr>
              <w:t>Director</w:t>
            </w:r>
          </w:p>
        </w:tc>
        <w:tc>
          <w:tcPr>
            <w:tcW w:w="6600" w:type="dxa"/>
            <w:gridSpan w:val="3"/>
            <w:tcBorders>
              <w:top w:val="nil"/>
              <w:left w:val="nil"/>
              <w:bottom w:val="nil"/>
              <w:right w:val="nil"/>
            </w:tcBorders>
            <w:shd w:val="clear" w:color="000000" w:fill="FFFFFF"/>
            <w:noWrap/>
            <w:vAlign w:val="bottom"/>
            <w:hideMark/>
          </w:tcPr>
          <w:p w14:paraId="1848476F" w14:textId="77777777" w:rsidR="0031593B" w:rsidRPr="0031593B" w:rsidRDefault="0031593B" w:rsidP="0031593B">
            <w:pPr>
              <w:rPr>
                <w:rFonts w:ascii="Arial" w:eastAsia="Times New Roman" w:hAnsi="Arial" w:cs="Arial"/>
              </w:rPr>
            </w:pPr>
            <w:r w:rsidRPr="0031593B">
              <w:rPr>
                <w:rFonts w:ascii="Arial" w:eastAsia="Times New Roman" w:hAnsi="Arial" w:cs="Arial"/>
              </w:rPr>
              <w:t>Real-estate, Chairman/CEO of Aspen Properties LTD</w:t>
            </w:r>
          </w:p>
        </w:tc>
        <w:tc>
          <w:tcPr>
            <w:tcW w:w="1260" w:type="dxa"/>
            <w:tcBorders>
              <w:top w:val="nil"/>
              <w:left w:val="nil"/>
              <w:bottom w:val="nil"/>
              <w:right w:val="single" w:sz="8" w:space="0" w:color="auto"/>
            </w:tcBorders>
            <w:shd w:val="clear" w:color="000000" w:fill="FFFFFF"/>
            <w:noWrap/>
            <w:vAlign w:val="bottom"/>
            <w:hideMark/>
          </w:tcPr>
          <w:p w14:paraId="27E92A8B"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r>
      <w:tr w:rsidR="0031593B" w:rsidRPr="0031593B" w14:paraId="54C70F11" w14:textId="77777777" w:rsidTr="0031593B">
        <w:trPr>
          <w:trHeight w:val="255"/>
        </w:trPr>
        <w:tc>
          <w:tcPr>
            <w:tcW w:w="2000" w:type="dxa"/>
            <w:tcBorders>
              <w:top w:val="nil"/>
              <w:left w:val="single" w:sz="8" w:space="0" w:color="auto"/>
              <w:bottom w:val="nil"/>
              <w:right w:val="nil"/>
            </w:tcBorders>
            <w:shd w:val="clear" w:color="000000" w:fill="FFFFFF"/>
            <w:noWrap/>
            <w:vAlign w:val="bottom"/>
            <w:hideMark/>
          </w:tcPr>
          <w:p w14:paraId="42CB6C9E" w14:textId="77777777" w:rsidR="0031593B" w:rsidRPr="0031593B" w:rsidRDefault="0031593B" w:rsidP="0031593B">
            <w:pPr>
              <w:rPr>
                <w:rFonts w:ascii="Arial" w:eastAsia="Times New Roman" w:hAnsi="Arial" w:cs="Arial"/>
              </w:rPr>
            </w:pPr>
            <w:r w:rsidRPr="0031593B">
              <w:rPr>
                <w:rFonts w:ascii="Arial" w:eastAsia="Times New Roman" w:hAnsi="Arial" w:cs="Arial"/>
              </w:rPr>
              <w:t>Eric Resnick</w:t>
            </w:r>
          </w:p>
        </w:tc>
        <w:tc>
          <w:tcPr>
            <w:tcW w:w="1920" w:type="dxa"/>
            <w:tcBorders>
              <w:top w:val="nil"/>
              <w:left w:val="nil"/>
              <w:bottom w:val="nil"/>
              <w:right w:val="nil"/>
            </w:tcBorders>
            <w:shd w:val="clear" w:color="000000" w:fill="FFFFFF"/>
            <w:noWrap/>
            <w:vAlign w:val="bottom"/>
            <w:hideMark/>
          </w:tcPr>
          <w:p w14:paraId="1112C1F8" w14:textId="77777777" w:rsidR="0031593B" w:rsidRPr="0031593B" w:rsidRDefault="0031593B" w:rsidP="0031593B">
            <w:pPr>
              <w:rPr>
                <w:rFonts w:ascii="Arial" w:eastAsia="Times New Roman" w:hAnsi="Arial" w:cs="Arial"/>
              </w:rPr>
            </w:pPr>
            <w:r w:rsidRPr="0031593B">
              <w:rPr>
                <w:rFonts w:ascii="Arial" w:eastAsia="Times New Roman" w:hAnsi="Arial" w:cs="Arial"/>
              </w:rPr>
              <w:t>Director</w:t>
            </w:r>
          </w:p>
        </w:tc>
        <w:tc>
          <w:tcPr>
            <w:tcW w:w="2680" w:type="dxa"/>
            <w:tcBorders>
              <w:top w:val="nil"/>
              <w:left w:val="nil"/>
              <w:bottom w:val="nil"/>
              <w:right w:val="nil"/>
            </w:tcBorders>
            <w:shd w:val="clear" w:color="000000" w:fill="FFFFFF"/>
            <w:noWrap/>
            <w:vAlign w:val="bottom"/>
            <w:hideMark/>
          </w:tcPr>
          <w:p w14:paraId="17A7EF09" w14:textId="77777777" w:rsidR="0031593B" w:rsidRPr="0031593B" w:rsidRDefault="0031593B" w:rsidP="0031593B">
            <w:pPr>
              <w:rPr>
                <w:rFonts w:ascii="Arial" w:eastAsia="Times New Roman" w:hAnsi="Arial" w:cs="Arial"/>
              </w:rPr>
            </w:pPr>
            <w:r w:rsidRPr="0031593B">
              <w:rPr>
                <w:rFonts w:ascii="Arial" w:eastAsia="Times New Roman" w:hAnsi="Arial" w:cs="Arial"/>
              </w:rPr>
              <w:t>MD of KSL Capital.</w:t>
            </w:r>
          </w:p>
        </w:tc>
        <w:tc>
          <w:tcPr>
            <w:tcW w:w="1960" w:type="dxa"/>
            <w:tcBorders>
              <w:top w:val="nil"/>
              <w:left w:val="nil"/>
              <w:bottom w:val="nil"/>
              <w:right w:val="nil"/>
            </w:tcBorders>
            <w:shd w:val="clear" w:color="000000" w:fill="FFFFFF"/>
            <w:noWrap/>
            <w:vAlign w:val="bottom"/>
            <w:hideMark/>
          </w:tcPr>
          <w:p w14:paraId="2089D8A1"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960" w:type="dxa"/>
            <w:tcBorders>
              <w:top w:val="nil"/>
              <w:left w:val="nil"/>
              <w:bottom w:val="nil"/>
              <w:right w:val="nil"/>
            </w:tcBorders>
            <w:shd w:val="clear" w:color="000000" w:fill="FFFFFF"/>
            <w:noWrap/>
            <w:vAlign w:val="bottom"/>
            <w:hideMark/>
          </w:tcPr>
          <w:p w14:paraId="63486058"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260" w:type="dxa"/>
            <w:tcBorders>
              <w:top w:val="nil"/>
              <w:left w:val="nil"/>
              <w:bottom w:val="nil"/>
              <w:right w:val="single" w:sz="8" w:space="0" w:color="auto"/>
            </w:tcBorders>
            <w:shd w:val="clear" w:color="000000" w:fill="FFFFFF"/>
            <w:noWrap/>
            <w:vAlign w:val="bottom"/>
            <w:hideMark/>
          </w:tcPr>
          <w:p w14:paraId="6AA4F139"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r>
      <w:tr w:rsidR="0031593B" w:rsidRPr="0031593B" w14:paraId="74D97D29" w14:textId="77777777" w:rsidTr="0031593B">
        <w:trPr>
          <w:trHeight w:val="255"/>
        </w:trPr>
        <w:tc>
          <w:tcPr>
            <w:tcW w:w="2000" w:type="dxa"/>
            <w:tcBorders>
              <w:top w:val="nil"/>
              <w:left w:val="single" w:sz="8" w:space="0" w:color="auto"/>
              <w:bottom w:val="nil"/>
              <w:right w:val="nil"/>
            </w:tcBorders>
            <w:shd w:val="clear" w:color="000000" w:fill="FFFFFF"/>
            <w:noWrap/>
            <w:vAlign w:val="bottom"/>
            <w:hideMark/>
          </w:tcPr>
          <w:p w14:paraId="7399E693" w14:textId="77777777" w:rsidR="0031593B" w:rsidRPr="0031593B" w:rsidRDefault="0031593B" w:rsidP="0031593B">
            <w:pPr>
              <w:rPr>
                <w:rFonts w:ascii="Arial" w:eastAsia="Times New Roman" w:hAnsi="Arial" w:cs="Arial"/>
              </w:rPr>
            </w:pPr>
            <w:r w:rsidRPr="0031593B">
              <w:rPr>
                <w:rFonts w:ascii="Arial" w:eastAsia="Times New Roman" w:hAnsi="Arial" w:cs="Arial"/>
              </w:rPr>
              <w:t>Peter Mcdermott</w:t>
            </w:r>
          </w:p>
        </w:tc>
        <w:tc>
          <w:tcPr>
            <w:tcW w:w="1920" w:type="dxa"/>
            <w:tcBorders>
              <w:top w:val="nil"/>
              <w:left w:val="nil"/>
              <w:bottom w:val="nil"/>
              <w:right w:val="nil"/>
            </w:tcBorders>
            <w:shd w:val="clear" w:color="000000" w:fill="FFFFFF"/>
            <w:noWrap/>
            <w:vAlign w:val="bottom"/>
            <w:hideMark/>
          </w:tcPr>
          <w:p w14:paraId="722F88B7" w14:textId="77777777" w:rsidR="0031593B" w:rsidRPr="0031593B" w:rsidRDefault="0031593B" w:rsidP="0031593B">
            <w:pPr>
              <w:rPr>
                <w:rFonts w:ascii="Arial" w:eastAsia="Times New Roman" w:hAnsi="Arial" w:cs="Arial"/>
              </w:rPr>
            </w:pPr>
            <w:r w:rsidRPr="0031593B">
              <w:rPr>
                <w:rFonts w:ascii="Arial" w:eastAsia="Times New Roman" w:hAnsi="Arial" w:cs="Arial"/>
              </w:rPr>
              <w:t>Director</w:t>
            </w:r>
          </w:p>
        </w:tc>
        <w:tc>
          <w:tcPr>
            <w:tcW w:w="2680" w:type="dxa"/>
            <w:tcBorders>
              <w:top w:val="nil"/>
              <w:left w:val="nil"/>
              <w:bottom w:val="nil"/>
              <w:right w:val="nil"/>
            </w:tcBorders>
            <w:shd w:val="clear" w:color="000000" w:fill="FFFFFF"/>
            <w:noWrap/>
            <w:vAlign w:val="bottom"/>
            <w:hideMark/>
          </w:tcPr>
          <w:p w14:paraId="249CC34D" w14:textId="77777777" w:rsidR="0031593B" w:rsidRPr="0031593B" w:rsidRDefault="0031593B" w:rsidP="0031593B">
            <w:pPr>
              <w:rPr>
                <w:rFonts w:ascii="Arial" w:eastAsia="Times New Roman" w:hAnsi="Arial" w:cs="Arial"/>
              </w:rPr>
            </w:pPr>
            <w:r w:rsidRPr="0031593B">
              <w:rPr>
                <w:rFonts w:ascii="Arial" w:eastAsia="Times New Roman" w:hAnsi="Arial" w:cs="Arial"/>
              </w:rPr>
              <w:t>Partner at KSL Capital.</w:t>
            </w:r>
          </w:p>
        </w:tc>
        <w:tc>
          <w:tcPr>
            <w:tcW w:w="1960" w:type="dxa"/>
            <w:tcBorders>
              <w:top w:val="nil"/>
              <w:left w:val="nil"/>
              <w:bottom w:val="nil"/>
              <w:right w:val="nil"/>
            </w:tcBorders>
            <w:shd w:val="clear" w:color="000000" w:fill="FFFFFF"/>
            <w:noWrap/>
            <w:vAlign w:val="bottom"/>
            <w:hideMark/>
          </w:tcPr>
          <w:p w14:paraId="2CFD2D53"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960" w:type="dxa"/>
            <w:tcBorders>
              <w:top w:val="nil"/>
              <w:left w:val="nil"/>
              <w:bottom w:val="nil"/>
              <w:right w:val="nil"/>
            </w:tcBorders>
            <w:shd w:val="clear" w:color="000000" w:fill="FFFFFF"/>
            <w:noWrap/>
            <w:vAlign w:val="bottom"/>
            <w:hideMark/>
          </w:tcPr>
          <w:p w14:paraId="07C0A684"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260" w:type="dxa"/>
            <w:tcBorders>
              <w:top w:val="nil"/>
              <w:left w:val="nil"/>
              <w:bottom w:val="nil"/>
              <w:right w:val="single" w:sz="8" w:space="0" w:color="auto"/>
            </w:tcBorders>
            <w:shd w:val="clear" w:color="000000" w:fill="FFFFFF"/>
            <w:noWrap/>
            <w:vAlign w:val="bottom"/>
            <w:hideMark/>
          </w:tcPr>
          <w:p w14:paraId="04C0D5DF"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r>
      <w:tr w:rsidR="0031593B" w:rsidRPr="0031593B" w14:paraId="43B49E09" w14:textId="77777777" w:rsidTr="0031593B">
        <w:trPr>
          <w:trHeight w:val="270"/>
        </w:trPr>
        <w:tc>
          <w:tcPr>
            <w:tcW w:w="2000" w:type="dxa"/>
            <w:tcBorders>
              <w:top w:val="nil"/>
              <w:left w:val="single" w:sz="8" w:space="0" w:color="auto"/>
              <w:bottom w:val="single" w:sz="8" w:space="0" w:color="auto"/>
              <w:right w:val="nil"/>
            </w:tcBorders>
            <w:shd w:val="clear" w:color="000000" w:fill="FFFFFF"/>
            <w:noWrap/>
            <w:vAlign w:val="bottom"/>
            <w:hideMark/>
          </w:tcPr>
          <w:p w14:paraId="56A39417" w14:textId="77777777" w:rsidR="0031593B" w:rsidRPr="0031593B" w:rsidRDefault="0031593B" w:rsidP="0031593B">
            <w:pPr>
              <w:rPr>
                <w:rFonts w:ascii="Arial" w:eastAsia="Times New Roman" w:hAnsi="Arial" w:cs="Arial"/>
              </w:rPr>
            </w:pPr>
            <w:r w:rsidRPr="0031593B">
              <w:rPr>
                <w:rFonts w:ascii="Arial" w:eastAsia="Times New Roman" w:hAnsi="Arial" w:cs="Arial"/>
              </w:rPr>
              <w:t>Michele Romanow</w:t>
            </w:r>
          </w:p>
        </w:tc>
        <w:tc>
          <w:tcPr>
            <w:tcW w:w="1920" w:type="dxa"/>
            <w:tcBorders>
              <w:top w:val="nil"/>
              <w:left w:val="nil"/>
              <w:bottom w:val="single" w:sz="8" w:space="0" w:color="auto"/>
              <w:right w:val="nil"/>
            </w:tcBorders>
            <w:shd w:val="clear" w:color="000000" w:fill="FFFFFF"/>
            <w:noWrap/>
            <w:vAlign w:val="bottom"/>
            <w:hideMark/>
          </w:tcPr>
          <w:p w14:paraId="5C751C7B" w14:textId="77777777" w:rsidR="0031593B" w:rsidRPr="0031593B" w:rsidRDefault="0031593B" w:rsidP="0031593B">
            <w:pPr>
              <w:rPr>
                <w:rFonts w:ascii="Arial" w:eastAsia="Times New Roman" w:hAnsi="Arial" w:cs="Arial"/>
              </w:rPr>
            </w:pPr>
            <w:r w:rsidRPr="0031593B">
              <w:rPr>
                <w:rFonts w:ascii="Arial" w:eastAsia="Times New Roman" w:hAnsi="Arial" w:cs="Arial"/>
              </w:rPr>
              <w:t>Director</w:t>
            </w:r>
          </w:p>
        </w:tc>
        <w:tc>
          <w:tcPr>
            <w:tcW w:w="4640" w:type="dxa"/>
            <w:gridSpan w:val="2"/>
            <w:tcBorders>
              <w:top w:val="nil"/>
              <w:left w:val="nil"/>
              <w:bottom w:val="single" w:sz="8" w:space="0" w:color="auto"/>
              <w:right w:val="nil"/>
            </w:tcBorders>
            <w:shd w:val="clear" w:color="000000" w:fill="FFFFFF"/>
            <w:noWrap/>
            <w:vAlign w:val="bottom"/>
            <w:hideMark/>
          </w:tcPr>
          <w:p w14:paraId="13D28AA1" w14:textId="77777777" w:rsidR="0031593B" w:rsidRPr="0031593B" w:rsidRDefault="0031593B" w:rsidP="0031593B">
            <w:pPr>
              <w:rPr>
                <w:rFonts w:ascii="Arial" w:eastAsia="Times New Roman" w:hAnsi="Arial" w:cs="Arial"/>
              </w:rPr>
            </w:pPr>
            <w:r w:rsidRPr="0031593B">
              <w:rPr>
                <w:rFonts w:ascii="Arial" w:eastAsia="Times New Roman" w:hAnsi="Arial" w:cs="Arial"/>
              </w:rPr>
              <w:t>Marketing Executive Groupon, Founder Buytopia</w:t>
            </w:r>
          </w:p>
        </w:tc>
        <w:tc>
          <w:tcPr>
            <w:tcW w:w="1960" w:type="dxa"/>
            <w:tcBorders>
              <w:top w:val="nil"/>
              <w:left w:val="nil"/>
              <w:bottom w:val="single" w:sz="8" w:space="0" w:color="auto"/>
              <w:right w:val="nil"/>
            </w:tcBorders>
            <w:shd w:val="clear" w:color="000000" w:fill="FFFFFF"/>
            <w:noWrap/>
            <w:vAlign w:val="bottom"/>
            <w:hideMark/>
          </w:tcPr>
          <w:p w14:paraId="0F1D0434"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c>
          <w:tcPr>
            <w:tcW w:w="1260" w:type="dxa"/>
            <w:tcBorders>
              <w:top w:val="nil"/>
              <w:left w:val="nil"/>
              <w:bottom w:val="single" w:sz="8" w:space="0" w:color="auto"/>
              <w:right w:val="single" w:sz="8" w:space="0" w:color="auto"/>
            </w:tcBorders>
            <w:shd w:val="clear" w:color="000000" w:fill="FFFFFF"/>
            <w:noWrap/>
            <w:vAlign w:val="bottom"/>
            <w:hideMark/>
          </w:tcPr>
          <w:p w14:paraId="6736FDD4" w14:textId="77777777" w:rsidR="0031593B" w:rsidRPr="0031593B" w:rsidRDefault="0031593B" w:rsidP="0031593B">
            <w:pPr>
              <w:rPr>
                <w:rFonts w:ascii="Arial" w:eastAsia="Times New Roman" w:hAnsi="Arial" w:cs="Arial"/>
              </w:rPr>
            </w:pPr>
            <w:r w:rsidRPr="0031593B">
              <w:rPr>
                <w:rFonts w:ascii="Arial" w:eastAsia="Times New Roman" w:hAnsi="Arial" w:cs="Arial"/>
              </w:rPr>
              <w:t> </w:t>
            </w:r>
          </w:p>
        </w:tc>
      </w:tr>
    </w:tbl>
    <w:p w14:paraId="0E6ECF60" w14:textId="77777777" w:rsidR="00687515" w:rsidRPr="00687515" w:rsidRDefault="00687515" w:rsidP="00687515"/>
    <w:p w14:paraId="1F9A12FD" w14:textId="56504491" w:rsidR="00656319" w:rsidRPr="00ED2414" w:rsidRDefault="00656319" w:rsidP="00656319">
      <w:pPr>
        <w:ind w:left="2160"/>
        <w:rPr>
          <w:rFonts w:ascii="Times New Roman" w:hAnsi="Times New Roman"/>
        </w:rPr>
      </w:pPr>
      <w:r w:rsidRPr="00ED2414">
        <w:rPr>
          <w:rFonts w:ascii="Times New Roman" w:hAnsi="Times New Roman"/>
        </w:rPr>
        <w:t>Eight members represent the board of directors on WB’s management team consisting of the CEO Dave Brownlie. Mr. Brownlie just recently increased his holdings by 31,167 shares on Dec. 21</w:t>
      </w:r>
      <w:r w:rsidRPr="00ED2414">
        <w:rPr>
          <w:rFonts w:ascii="Times New Roman" w:hAnsi="Times New Roman"/>
          <w:vertAlign w:val="superscript"/>
        </w:rPr>
        <w:t>st</w:t>
      </w:r>
      <w:r w:rsidRPr="00ED2414">
        <w:rPr>
          <w:rFonts w:ascii="Times New Roman" w:hAnsi="Times New Roman"/>
        </w:rPr>
        <w:t xml:space="preserve"> 2015, showing a substantial confidence in WB’s promising future. The CFO is Jeremy Black who oversees all financial related activity regarding Whistler Blackcomb’s operations for the past 3 years. The VP of Sales and Marketing is Stuart Rempel who is credited for all of Whistler’s regional and international marketing strategies in addition to its branding.  The Directors of Whistler Blackcomb also hold positions on</w:t>
      </w:r>
      <w:r w:rsidR="00B151CD">
        <w:rPr>
          <w:rFonts w:ascii="Times New Roman" w:hAnsi="Times New Roman"/>
        </w:rPr>
        <w:t xml:space="preserve"> one of three committees. 1. Audit and Oversight, 2. Corporate Governance&amp; Nominating Committee and 3. Compensation Committee.</w:t>
      </w:r>
    </w:p>
    <w:p w14:paraId="703EB3AA" w14:textId="648E6AB7" w:rsidR="00656319" w:rsidRPr="00ED2414" w:rsidRDefault="00656319" w:rsidP="00B151CD">
      <w:pPr>
        <w:contextualSpacing/>
        <w:rPr>
          <w:rFonts w:ascii="Times New Roman" w:hAnsi="Times New Roman"/>
        </w:rPr>
      </w:pPr>
    </w:p>
    <w:p w14:paraId="307F6B02" w14:textId="77777777" w:rsidR="00656319" w:rsidRPr="00ED2414" w:rsidRDefault="00656319" w:rsidP="00656319">
      <w:pPr>
        <w:ind w:left="2160"/>
        <w:contextualSpacing/>
        <w:rPr>
          <w:rFonts w:ascii="Times New Roman" w:hAnsi="Times New Roman"/>
          <w:b/>
        </w:rPr>
      </w:pPr>
      <w:r w:rsidRPr="00ED2414">
        <w:rPr>
          <w:rFonts w:ascii="Times New Roman" w:hAnsi="Times New Roman"/>
          <w:b/>
        </w:rPr>
        <w:t>Social Responsibility</w:t>
      </w:r>
    </w:p>
    <w:p w14:paraId="2338F515" w14:textId="53E39D27" w:rsidR="00656319" w:rsidRPr="00ED2414" w:rsidRDefault="00656319" w:rsidP="00656319">
      <w:pPr>
        <w:ind w:left="2160"/>
        <w:rPr>
          <w:rFonts w:ascii="Times New Roman" w:hAnsi="Times New Roman"/>
        </w:rPr>
      </w:pPr>
      <w:r w:rsidRPr="00ED2414">
        <w:rPr>
          <w:rFonts w:ascii="Times New Roman" w:hAnsi="Times New Roman"/>
        </w:rPr>
        <w:t xml:space="preserve">Whistler is taking a leadership position in minimizing fuel consumption and energy usage in their facilities and on mountain infrastructure. They are also taking the initiative to work towards maintaining the ecosystems in Whistlers vicinity and furthermore progressing towards taking on a more restorative role for the future. Whistler is also pushing the limits for striving towards producing zero waste through a multitude of innovative waste removal solutions. Whistler actually has taken the initiative to education staff and guests to increase awareness of these initiatives and more. Moreover, Whistler has been building its social involvement through having positive and active impacts on the adjacent communities. Lastly, Whistler is putting a lot of emphasis on having quality mountain drinking water, having hired reliable and knowledgeable staff who possess a great deal of experience with water delivery processes. This gives Whistler a strong competitive advantage in their advances with Corporate Social Responsibility.     </w:t>
      </w:r>
    </w:p>
    <w:p w14:paraId="5B1EF9CC" w14:textId="1F3CF666" w:rsidR="00656319" w:rsidRPr="00ED2414" w:rsidRDefault="00656319" w:rsidP="00656319">
      <w:pPr>
        <w:rPr>
          <w:rFonts w:ascii="Times New Roman" w:hAnsi="Times New Roman"/>
        </w:rPr>
      </w:pPr>
    </w:p>
    <w:p w14:paraId="3C2CE0BD" w14:textId="0376FF38" w:rsidR="00B151CD" w:rsidRDefault="00CF5838" w:rsidP="00B151CD">
      <w:pPr>
        <w:pStyle w:val="NormalWeb"/>
        <w:spacing w:before="0" w:beforeAutospacing="0" w:after="0" w:afterAutospacing="0"/>
        <w:ind w:left="2160"/>
        <w:jc w:val="both"/>
        <w:rPr>
          <w:rFonts w:ascii="Times New Roman" w:hAnsi="Times New Roman"/>
          <w:b/>
        </w:rPr>
      </w:pPr>
      <w:r>
        <w:rPr>
          <w:noProof/>
          <w:lang w:val="en-CA" w:eastAsia="en-CA"/>
        </w:rPr>
        <w:drawing>
          <wp:anchor distT="0" distB="0" distL="114300" distR="114300" simplePos="0" relativeHeight="251692544" behindDoc="1" locked="0" layoutInCell="1" allowOverlap="1" wp14:anchorId="43885FA4" wp14:editId="4F537E14">
            <wp:simplePos x="0" y="0"/>
            <wp:positionH relativeFrom="page">
              <wp:align>left</wp:align>
            </wp:positionH>
            <wp:positionV relativeFrom="paragraph">
              <wp:posOffset>189277</wp:posOffset>
            </wp:positionV>
            <wp:extent cx="2095332" cy="2164715"/>
            <wp:effectExtent l="0" t="0" r="635" b="6985"/>
            <wp:wrapNone/>
            <wp:docPr id="528" name="Chart 5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B151CD" w:rsidRPr="00BD37FA">
        <w:rPr>
          <w:rFonts w:ascii="Times New Roman" w:hAnsi="Times New Roman"/>
          <w:b/>
        </w:rPr>
        <w:t xml:space="preserve">Key Demand Drivers </w:t>
      </w:r>
    </w:p>
    <w:p w14:paraId="20B68FCC" w14:textId="1CA866A8" w:rsidR="00B151CD" w:rsidRPr="00BD37FA" w:rsidRDefault="00B151CD" w:rsidP="00B151CD">
      <w:pPr>
        <w:pStyle w:val="NormalWeb"/>
        <w:spacing w:before="0" w:beforeAutospacing="0" w:after="0" w:afterAutospacing="0"/>
        <w:ind w:left="2160"/>
        <w:jc w:val="both"/>
        <w:rPr>
          <w:rFonts w:ascii="Times New Roman" w:hAnsi="Times New Roman"/>
          <w:b/>
        </w:rPr>
      </w:pPr>
    </w:p>
    <w:p w14:paraId="16B7567C" w14:textId="2EA9C340" w:rsidR="00B151CD" w:rsidRPr="00ED2414" w:rsidRDefault="00B151CD" w:rsidP="00B151CD">
      <w:pPr>
        <w:widowControl w:val="0"/>
        <w:autoSpaceDE w:val="0"/>
        <w:autoSpaceDN w:val="0"/>
        <w:adjustRightInd w:val="0"/>
        <w:ind w:left="2160"/>
        <w:jc w:val="both"/>
        <w:rPr>
          <w:rFonts w:ascii="Times New Roman" w:hAnsi="Times New Roman"/>
          <w:b/>
          <w:bCs/>
        </w:rPr>
      </w:pPr>
      <w:r w:rsidRPr="00ED2414">
        <w:rPr>
          <w:rFonts w:ascii="Times New Roman" w:hAnsi="Times New Roman"/>
          <w:b/>
          <w:bCs/>
        </w:rPr>
        <w:t>Weather</w:t>
      </w:r>
    </w:p>
    <w:p w14:paraId="1262C40D" w14:textId="68CCAB67" w:rsidR="00BD37FA" w:rsidRPr="00BD37FA" w:rsidRDefault="00656319" w:rsidP="00BD37FA">
      <w:pPr>
        <w:pStyle w:val="Heading2"/>
        <w:ind w:left="1872" w:firstLine="288"/>
        <w:jc w:val="both"/>
        <w:rPr>
          <w:rFonts w:ascii="Times New Roman" w:hAnsi="Times New Roman"/>
          <w:sz w:val="28"/>
          <w:szCs w:val="28"/>
        </w:rPr>
      </w:pPr>
      <w:r w:rsidRPr="00ED2414">
        <w:rPr>
          <w:rFonts w:ascii="Times New Roman" w:hAnsi="Times New Roman"/>
          <w:sz w:val="28"/>
          <w:szCs w:val="28"/>
        </w:rPr>
        <w:t>Industry Overview and Competitive Positioning</w:t>
      </w:r>
    </w:p>
    <w:p w14:paraId="3AE918D4" w14:textId="0C29D908" w:rsidR="00656319" w:rsidRPr="00ED2414" w:rsidRDefault="00656319" w:rsidP="00656319">
      <w:pPr>
        <w:widowControl w:val="0"/>
        <w:autoSpaceDE w:val="0"/>
        <w:autoSpaceDN w:val="0"/>
        <w:adjustRightInd w:val="0"/>
        <w:ind w:left="2160"/>
        <w:jc w:val="both"/>
        <w:rPr>
          <w:rFonts w:ascii="Times New Roman" w:hAnsi="Times New Roman"/>
          <w:b/>
          <w:bCs/>
        </w:rPr>
      </w:pPr>
      <w:r w:rsidRPr="00ED2414">
        <w:rPr>
          <w:rFonts w:ascii="Times New Roman" w:hAnsi="Times New Roman"/>
        </w:rPr>
        <w:t>Expectations of weather conditions impact demand, under ideal conditions leading to a spurring demand whilst declining demand under adverse conditions such as during snowstorms and blizzards. As 85% of Revenue is generated during the winter season, snow conditions early on in the season can greatly influence the success and momentum of the ski season</w:t>
      </w:r>
      <w:r w:rsidR="00B2209B">
        <w:rPr>
          <w:rFonts w:ascii="Times New Roman" w:hAnsi="Times New Roman"/>
        </w:rPr>
        <w:t xml:space="preserve"> </w:t>
      </w:r>
      <w:r w:rsidR="00B2209B" w:rsidRPr="00B2209B">
        <w:rPr>
          <w:rFonts w:ascii="Times New Roman" w:hAnsi="Times New Roman"/>
        </w:rPr>
        <w:t>(refer to appendix 9)</w:t>
      </w:r>
      <w:r w:rsidRPr="00B2209B">
        <w:rPr>
          <w:rFonts w:ascii="Times New Roman" w:hAnsi="Times New Roman"/>
        </w:rPr>
        <w:t>.</w:t>
      </w:r>
    </w:p>
    <w:p w14:paraId="1B6A416D" w14:textId="5383C45A" w:rsidR="00656319" w:rsidRPr="00ED2414" w:rsidRDefault="00656319" w:rsidP="00656319">
      <w:pPr>
        <w:widowControl w:val="0"/>
        <w:autoSpaceDE w:val="0"/>
        <w:autoSpaceDN w:val="0"/>
        <w:adjustRightInd w:val="0"/>
        <w:ind w:left="2160"/>
        <w:jc w:val="both"/>
        <w:rPr>
          <w:rFonts w:ascii="Times New Roman" w:hAnsi="Times New Roman"/>
        </w:rPr>
      </w:pPr>
    </w:p>
    <w:p w14:paraId="565CC637" w14:textId="4920526D" w:rsidR="00656319" w:rsidRPr="00ED2414" w:rsidRDefault="00656319" w:rsidP="00656319">
      <w:pPr>
        <w:widowControl w:val="0"/>
        <w:autoSpaceDE w:val="0"/>
        <w:autoSpaceDN w:val="0"/>
        <w:adjustRightInd w:val="0"/>
        <w:ind w:left="2160"/>
        <w:jc w:val="both"/>
        <w:rPr>
          <w:rFonts w:ascii="Times New Roman" w:hAnsi="Times New Roman"/>
          <w:b/>
          <w:bCs/>
        </w:rPr>
      </w:pPr>
      <w:r w:rsidRPr="00ED2414">
        <w:rPr>
          <w:rFonts w:ascii="Times New Roman" w:hAnsi="Times New Roman"/>
          <w:b/>
          <w:bCs/>
        </w:rPr>
        <w:t xml:space="preserve">Economic Factors </w:t>
      </w:r>
    </w:p>
    <w:p w14:paraId="402D2118" w14:textId="3A7A9F71" w:rsidR="00656319" w:rsidRPr="00ED2414" w:rsidRDefault="00656319" w:rsidP="00656319">
      <w:pPr>
        <w:widowControl w:val="0"/>
        <w:autoSpaceDE w:val="0"/>
        <w:autoSpaceDN w:val="0"/>
        <w:adjustRightInd w:val="0"/>
        <w:ind w:left="2160"/>
        <w:jc w:val="both"/>
        <w:rPr>
          <w:rFonts w:ascii="Times New Roman" w:hAnsi="Times New Roman"/>
          <w:bCs/>
        </w:rPr>
      </w:pPr>
      <w:r w:rsidRPr="00ED2414">
        <w:rPr>
          <w:rFonts w:ascii="Times New Roman" w:hAnsi="Times New Roman"/>
          <w:bCs/>
        </w:rPr>
        <w:t xml:space="preserve">The relatively high costs of participation in the Skiing business and its recreational nature can be affected negatively by a weakening economy due to customers switching to other affordable recreational activities. Slowing economy alongside decreasing per capita disposable income can </w:t>
      </w:r>
      <w:r w:rsidR="00BD37FA">
        <w:rPr>
          <w:rFonts w:ascii="Times New Roman" w:hAnsi="Times New Roman"/>
          <w:bCs/>
        </w:rPr>
        <w:t xml:space="preserve">have detrimental </w:t>
      </w:r>
      <w:r w:rsidR="00A43D61">
        <w:rPr>
          <w:rFonts w:ascii="Times New Roman" w:hAnsi="Times New Roman"/>
          <w:bCs/>
        </w:rPr>
        <w:t>effects</w:t>
      </w:r>
      <w:r w:rsidR="00BD37FA">
        <w:rPr>
          <w:rFonts w:ascii="Times New Roman" w:hAnsi="Times New Roman"/>
          <w:bCs/>
        </w:rPr>
        <w:t xml:space="preserve"> on revenue</w:t>
      </w:r>
      <w:r w:rsidRPr="00ED2414">
        <w:rPr>
          <w:rFonts w:ascii="Times New Roman" w:hAnsi="Times New Roman"/>
          <w:bCs/>
        </w:rPr>
        <w:t xml:space="preserve">. </w:t>
      </w:r>
      <w:r w:rsidR="00BD37FA">
        <w:rPr>
          <w:rFonts w:ascii="Times New Roman" w:hAnsi="Times New Roman"/>
          <w:bCs/>
        </w:rPr>
        <w:t>T</w:t>
      </w:r>
      <w:r w:rsidRPr="00ED2414">
        <w:rPr>
          <w:rFonts w:ascii="Times New Roman" w:hAnsi="Times New Roman"/>
          <w:bCs/>
        </w:rPr>
        <w:t>he</w:t>
      </w:r>
      <w:r w:rsidR="00BD37FA">
        <w:rPr>
          <w:rFonts w:ascii="Times New Roman" w:hAnsi="Times New Roman"/>
          <w:bCs/>
        </w:rPr>
        <w:t xml:space="preserve"> decrease in Canadian</w:t>
      </w:r>
      <w:r w:rsidRPr="00ED2414">
        <w:rPr>
          <w:rFonts w:ascii="Times New Roman" w:hAnsi="Times New Roman"/>
          <w:bCs/>
        </w:rPr>
        <w:t xml:space="preserve"> per capita disposable </w:t>
      </w:r>
      <w:r w:rsidR="00BD37FA">
        <w:rPr>
          <w:rFonts w:ascii="Times New Roman" w:hAnsi="Times New Roman"/>
          <w:bCs/>
        </w:rPr>
        <w:t xml:space="preserve">will have adverse on WB’s revenue from domestic visitors. According to Statistic Canada, GDP suffered </w:t>
      </w:r>
      <w:r w:rsidR="00CF5838">
        <w:rPr>
          <w:noProof/>
          <w:lang w:val="en-CA" w:eastAsia="en-CA"/>
        </w:rPr>
        <w:lastRenderedPageBreak/>
        <w:drawing>
          <wp:anchor distT="0" distB="0" distL="114300" distR="114300" simplePos="0" relativeHeight="251697664" behindDoc="1" locked="0" layoutInCell="1" allowOverlap="1" wp14:anchorId="7567EAA4" wp14:editId="47EA58F6">
            <wp:simplePos x="0" y="0"/>
            <wp:positionH relativeFrom="page">
              <wp:align>left</wp:align>
            </wp:positionH>
            <wp:positionV relativeFrom="paragraph">
              <wp:posOffset>28491</wp:posOffset>
            </wp:positionV>
            <wp:extent cx="2061713" cy="1932317"/>
            <wp:effectExtent l="0" t="0" r="0" b="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BD37FA">
        <w:rPr>
          <w:rFonts w:ascii="Times New Roman" w:hAnsi="Times New Roman"/>
          <w:bCs/>
        </w:rPr>
        <w:t>negative growth in the first two quarters of 2015, and disposable income has seen a decline of -0</w:t>
      </w:r>
      <w:r w:rsidR="00BD37FA">
        <w:rPr>
          <w:rFonts w:ascii="Times New Roman" w:hAnsi="Times New Roman" w:hint="eastAsia"/>
          <w:bCs/>
          <w:lang w:eastAsia="zh-CN"/>
        </w:rPr>
        <w:t>.</w:t>
      </w:r>
      <w:r w:rsidR="00BD37FA">
        <w:rPr>
          <w:rFonts w:ascii="Times New Roman" w:hAnsi="Times New Roman"/>
          <w:bCs/>
          <w:lang w:eastAsia="zh-CN"/>
        </w:rPr>
        <w:t>1% after years of strong growth. Therefore</w:t>
      </w:r>
      <w:r w:rsidR="00BD37FA">
        <w:rPr>
          <w:rFonts w:ascii="Times New Roman" w:hAnsi="Times New Roman"/>
          <w:bCs/>
        </w:rPr>
        <w:t xml:space="preserve"> resorts dependent on domestic visitors may see short-term revenue decline as a consequence,</w:t>
      </w:r>
    </w:p>
    <w:p w14:paraId="1E5B6BE3" w14:textId="3DE8F440" w:rsidR="00656319" w:rsidRPr="00ED2414" w:rsidRDefault="00656319" w:rsidP="00656319">
      <w:pPr>
        <w:widowControl w:val="0"/>
        <w:autoSpaceDE w:val="0"/>
        <w:autoSpaceDN w:val="0"/>
        <w:adjustRightInd w:val="0"/>
        <w:ind w:left="2160"/>
        <w:jc w:val="both"/>
        <w:rPr>
          <w:rFonts w:ascii="Times New Roman" w:hAnsi="Times New Roman"/>
          <w:bCs/>
        </w:rPr>
      </w:pPr>
    </w:p>
    <w:p w14:paraId="3446B8F6" w14:textId="1BF5A5B1" w:rsidR="00656319" w:rsidRPr="00ED2414" w:rsidRDefault="00656319" w:rsidP="00656319">
      <w:pPr>
        <w:ind w:left="2160"/>
        <w:jc w:val="both"/>
        <w:rPr>
          <w:rFonts w:ascii="Times New Roman" w:hAnsi="Times New Roman"/>
          <w:b/>
          <w:bCs/>
        </w:rPr>
      </w:pPr>
      <w:r w:rsidRPr="00ED2414">
        <w:rPr>
          <w:rFonts w:ascii="Times New Roman" w:hAnsi="Times New Roman"/>
          <w:b/>
          <w:bCs/>
        </w:rPr>
        <w:t>Destination Guests</w:t>
      </w:r>
    </w:p>
    <w:p w14:paraId="3BFC04E6" w14:textId="7EAB391F" w:rsidR="00BD37FA" w:rsidRPr="00BD37FA" w:rsidRDefault="00BD37FA" w:rsidP="00BD37FA">
      <w:pPr>
        <w:rPr>
          <w:rFonts w:ascii="Times New Roman" w:eastAsia="Times New Roman" w:hAnsi="Times New Roman"/>
          <w:sz w:val="24"/>
          <w:szCs w:val="24"/>
          <w:lang w:val="en-CA" w:eastAsia="zh-CN"/>
        </w:rPr>
      </w:pPr>
    </w:p>
    <w:p w14:paraId="5A9B591E" w14:textId="21D0BFDB" w:rsidR="00BD37FA" w:rsidRPr="00BD37FA" w:rsidRDefault="00656319" w:rsidP="00BD37FA">
      <w:pPr>
        <w:ind w:left="2160"/>
        <w:rPr>
          <w:rFonts w:ascii="Times New Roman" w:eastAsia="Times New Roman" w:hAnsi="Times New Roman"/>
          <w:sz w:val="24"/>
          <w:szCs w:val="24"/>
          <w:lang w:val="en-CA" w:eastAsia="zh-CN"/>
        </w:rPr>
      </w:pPr>
      <w:r w:rsidRPr="00ED2414">
        <w:rPr>
          <w:rFonts w:ascii="Times New Roman" w:hAnsi="Times New Roman"/>
        </w:rPr>
        <w:t>Unlike Regional guests, who reside within the resorts province, destination guests are not as sensitive to weather conditions</w:t>
      </w:r>
      <w:r w:rsidR="00BD37FA">
        <w:rPr>
          <w:rFonts w:ascii="Times New Roman" w:hAnsi="Times New Roman"/>
        </w:rPr>
        <w:t xml:space="preserve">. </w:t>
      </w:r>
      <w:r w:rsidRPr="00ED2414">
        <w:rPr>
          <w:rFonts w:ascii="Times New Roman" w:hAnsi="Times New Roman"/>
        </w:rPr>
        <w:t xml:space="preserve">These guests often stay longer, take advantage of full-service and </w:t>
      </w:r>
    </w:p>
    <w:p w14:paraId="18327283" w14:textId="43EF401E" w:rsidR="00656319" w:rsidRPr="00ED2414" w:rsidRDefault="00656319" w:rsidP="00656319">
      <w:pPr>
        <w:ind w:left="2160"/>
        <w:jc w:val="both"/>
        <w:rPr>
          <w:rFonts w:ascii="Times New Roman" w:hAnsi="Times New Roman"/>
          <w:b/>
          <w:bCs/>
        </w:rPr>
      </w:pPr>
      <w:r w:rsidRPr="00ED2414">
        <w:rPr>
          <w:rFonts w:ascii="Times New Roman" w:hAnsi="Times New Roman"/>
        </w:rPr>
        <w:t xml:space="preserve">generally yield higher returns as in the case of Whistler Blackcomb. </w:t>
      </w:r>
      <w:r w:rsidR="00A43D61">
        <w:rPr>
          <w:rFonts w:ascii="Times New Roman" w:hAnsi="Times New Roman"/>
        </w:rPr>
        <w:t>According</w:t>
      </w:r>
      <w:r w:rsidR="00BD37FA">
        <w:rPr>
          <w:rFonts w:ascii="Times New Roman" w:hAnsi="Times New Roman"/>
        </w:rPr>
        <w:t xml:space="preserve"> to Canadian Tourism Commission, Canada welcomed 854,300 international visitors</w:t>
      </w:r>
      <w:r w:rsidR="00BD37FA" w:rsidRPr="00BD37FA">
        <w:rPr>
          <w:rFonts w:ascii="Times New Roman" w:hAnsi="Times New Roman"/>
        </w:rPr>
        <w:t xml:space="preserve"> </w:t>
      </w:r>
      <w:r w:rsidR="00BD37FA">
        <w:rPr>
          <w:rFonts w:ascii="Times New Roman" w:hAnsi="Times New Roman"/>
        </w:rPr>
        <w:t xml:space="preserve">in November 2015, an increase of 9% compared to November 2014. A majority of winter destination visitors will likely be visiting WB for </w:t>
      </w:r>
      <w:r w:rsidR="00A43D61">
        <w:rPr>
          <w:rFonts w:ascii="Times New Roman" w:hAnsi="Times New Roman"/>
        </w:rPr>
        <w:t>its</w:t>
      </w:r>
      <w:r w:rsidR="00BD37FA">
        <w:rPr>
          <w:rFonts w:ascii="Times New Roman" w:hAnsi="Times New Roman"/>
        </w:rPr>
        <w:t xml:space="preserve"> winter sports. </w:t>
      </w:r>
    </w:p>
    <w:p w14:paraId="625FC775" w14:textId="09B78453" w:rsidR="00656319" w:rsidRPr="00ED2414" w:rsidRDefault="00656319" w:rsidP="00656319">
      <w:pPr>
        <w:widowControl w:val="0"/>
        <w:autoSpaceDE w:val="0"/>
        <w:autoSpaceDN w:val="0"/>
        <w:adjustRightInd w:val="0"/>
        <w:ind w:left="2160"/>
        <w:jc w:val="both"/>
        <w:rPr>
          <w:rFonts w:ascii="Times New Roman" w:hAnsi="Times New Roman"/>
        </w:rPr>
      </w:pPr>
    </w:p>
    <w:p w14:paraId="0F73B25E" w14:textId="7B55F1DE" w:rsidR="00656319" w:rsidRPr="00ED2414" w:rsidRDefault="00B151CD" w:rsidP="00656319">
      <w:pPr>
        <w:widowControl w:val="0"/>
        <w:autoSpaceDE w:val="0"/>
        <w:autoSpaceDN w:val="0"/>
        <w:adjustRightInd w:val="0"/>
        <w:ind w:left="2160"/>
        <w:jc w:val="both"/>
        <w:rPr>
          <w:rFonts w:ascii="Times New Roman" w:hAnsi="Times New Roman"/>
          <w:b/>
          <w:bCs/>
        </w:rPr>
      </w:pPr>
      <w:r>
        <w:rPr>
          <w:noProof/>
          <w:lang w:val="en-CA" w:eastAsia="en-CA"/>
        </w:rPr>
        <w:drawing>
          <wp:anchor distT="0" distB="0" distL="114300" distR="114300" simplePos="0" relativeHeight="251693568" behindDoc="1" locked="0" layoutInCell="1" allowOverlap="1" wp14:anchorId="7E3F5356" wp14:editId="592294DE">
            <wp:simplePos x="0" y="0"/>
            <wp:positionH relativeFrom="page">
              <wp:posOffset>-52809</wp:posOffset>
            </wp:positionH>
            <wp:positionV relativeFrom="paragraph">
              <wp:posOffset>156390</wp:posOffset>
            </wp:positionV>
            <wp:extent cx="2172970" cy="1940560"/>
            <wp:effectExtent l="0" t="0" r="0" b="2540"/>
            <wp:wrapNone/>
            <wp:docPr id="529" name="Chart 5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656319" w:rsidRPr="00ED2414">
        <w:rPr>
          <w:rFonts w:ascii="Times New Roman" w:hAnsi="Times New Roman"/>
          <w:b/>
          <w:bCs/>
        </w:rPr>
        <w:t xml:space="preserve">Demographic </w:t>
      </w:r>
    </w:p>
    <w:p w14:paraId="648E71F9" w14:textId="03D0C610" w:rsidR="00656319" w:rsidRPr="00ED2414" w:rsidRDefault="00656319" w:rsidP="00656319">
      <w:pPr>
        <w:widowControl w:val="0"/>
        <w:autoSpaceDE w:val="0"/>
        <w:autoSpaceDN w:val="0"/>
        <w:adjustRightInd w:val="0"/>
        <w:ind w:left="2160"/>
        <w:jc w:val="both"/>
        <w:rPr>
          <w:rFonts w:ascii="Times New Roman" w:hAnsi="Times New Roman"/>
          <w:b/>
          <w:bCs/>
        </w:rPr>
      </w:pPr>
      <w:r w:rsidRPr="00ED2414">
        <w:rPr>
          <w:rFonts w:ascii="Times New Roman" w:hAnsi="Times New Roman"/>
          <w:bCs/>
        </w:rPr>
        <w:t xml:space="preserve">The typical target market for the ski resorts is the </w:t>
      </w:r>
      <w:r w:rsidRPr="00885BE6">
        <w:rPr>
          <w:rFonts w:ascii="Times New Roman" w:hAnsi="Times New Roman"/>
          <w:bCs/>
          <w:color w:val="1C1C1C"/>
        </w:rPr>
        <w:t>Millennials</w:t>
      </w:r>
      <w:r w:rsidR="00885BE6">
        <w:rPr>
          <w:rFonts w:ascii="Times New Roman" w:hAnsi="Times New Roman"/>
          <w:bCs/>
        </w:rPr>
        <w:t>.</w:t>
      </w:r>
      <w:r w:rsidR="00BD37FA">
        <w:rPr>
          <w:rFonts w:ascii="Times New Roman" w:hAnsi="Times New Roman"/>
          <w:bCs/>
        </w:rPr>
        <w:t xml:space="preserve"> Millennials have become the largest group this year, consisting 28.6% of the global population, population will peak in 2038</w:t>
      </w:r>
      <w:r w:rsidRPr="00ED2414">
        <w:rPr>
          <w:rFonts w:ascii="Times New Roman" w:hAnsi="Times New Roman"/>
          <w:bCs/>
        </w:rPr>
        <w:t xml:space="preserve">. Despite their </w:t>
      </w:r>
      <w:r w:rsidR="00BD37FA">
        <w:rPr>
          <w:rFonts w:ascii="Times New Roman" w:hAnsi="Times New Roman"/>
          <w:bCs/>
        </w:rPr>
        <w:t xml:space="preserve">current </w:t>
      </w:r>
      <w:r w:rsidRPr="00ED2414">
        <w:rPr>
          <w:rFonts w:ascii="Times New Roman" w:hAnsi="Times New Roman"/>
          <w:bCs/>
        </w:rPr>
        <w:t xml:space="preserve">low </w:t>
      </w:r>
      <w:r w:rsidR="00BD37FA">
        <w:rPr>
          <w:rFonts w:ascii="Times New Roman" w:hAnsi="Times New Roman"/>
          <w:bCs/>
        </w:rPr>
        <w:t xml:space="preserve">average </w:t>
      </w:r>
      <w:r w:rsidRPr="00ED2414">
        <w:rPr>
          <w:rFonts w:ascii="Times New Roman" w:hAnsi="Times New Roman"/>
          <w:bCs/>
        </w:rPr>
        <w:t xml:space="preserve">disposable income, </w:t>
      </w:r>
      <w:r w:rsidR="00BD37FA">
        <w:rPr>
          <w:rFonts w:ascii="Times New Roman" w:hAnsi="Times New Roman"/>
          <w:bCs/>
        </w:rPr>
        <w:t xml:space="preserve">their purchasing power is growing rapidly, and </w:t>
      </w:r>
      <w:r w:rsidRPr="00ED2414">
        <w:rPr>
          <w:rFonts w:ascii="Times New Roman" w:hAnsi="Times New Roman"/>
          <w:bCs/>
        </w:rPr>
        <w:t>this segment tends to allocate a higher proportion of their income towards such recreational activities</w:t>
      </w:r>
      <w:r w:rsidR="00031FC8">
        <w:rPr>
          <w:rFonts w:ascii="Times New Roman" w:hAnsi="Times New Roman"/>
          <w:bCs/>
        </w:rPr>
        <w:t xml:space="preserve"> (refer to appendix 8).</w:t>
      </w:r>
    </w:p>
    <w:p w14:paraId="1BBDDD88" w14:textId="5A41B453" w:rsidR="00BD37FA" w:rsidRPr="00BD37FA" w:rsidRDefault="00BD37FA" w:rsidP="00082679">
      <w:pPr>
        <w:widowControl w:val="0"/>
        <w:autoSpaceDE w:val="0"/>
        <w:autoSpaceDN w:val="0"/>
        <w:adjustRightInd w:val="0"/>
        <w:jc w:val="both"/>
        <w:rPr>
          <w:rFonts w:ascii="Times New Roman" w:hAnsi="Times New Roman"/>
          <w:b/>
        </w:rPr>
      </w:pPr>
    </w:p>
    <w:p w14:paraId="5F5D5BE7" w14:textId="0617D41B" w:rsidR="00656319" w:rsidRPr="00ED2414" w:rsidRDefault="00656319" w:rsidP="00656319">
      <w:pPr>
        <w:widowControl w:val="0"/>
        <w:autoSpaceDE w:val="0"/>
        <w:autoSpaceDN w:val="0"/>
        <w:adjustRightInd w:val="0"/>
        <w:ind w:left="2160"/>
        <w:jc w:val="both"/>
        <w:rPr>
          <w:rFonts w:ascii="Times New Roman" w:hAnsi="Times New Roman"/>
          <w:b/>
          <w:bCs/>
        </w:rPr>
      </w:pPr>
      <w:r w:rsidRPr="00ED2414">
        <w:rPr>
          <w:rFonts w:ascii="Times New Roman" w:hAnsi="Times New Roman"/>
          <w:b/>
          <w:bCs/>
        </w:rPr>
        <w:t>Competitive Positioning</w:t>
      </w:r>
    </w:p>
    <w:p w14:paraId="1B9B9944" w14:textId="6FC1329A" w:rsidR="00BD37FA" w:rsidRPr="00ED2414" w:rsidRDefault="00656319" w:rsidP="00BD37FA">
      <w:pPr>
        <w:pStyle w:val="ListParagraph"/>
        <w:spacing w:after="0" w:line="240" w:lineRule="auto"/>
        <w:ind w:left="2160"/>
        <w:jc w:val="both"/>
        <w:rPr>
          <w:rFonts w:ascii="Times New Roman" w:hAnsi="Times New Roman"/>
        </w:rPr>
      </w:pPr>
      <w:r w:rsidRPr="00BD37FA">
        <w:rPr>
          <w:rFonts w:ascii="Times New Roman" w:hAnsi="Times New Roman" w:cs="Times New Roman"/>
          <w:sz w:val="20"/>
          <w:szCs w:val="20"/>
        </w:rPr>
        <w:t>An increase in inbound international travel has benefited industry operators in the five years to 2015 and this is expected to continue as energy prices remain stagnant and the US dollar remain strong</w:t>
      </w:r>
      <w:r w:rsidR="008410CF">
        <w:rPr>
          <w:rFonts w:ascii="Times New Roman" w:hAnsi="Times New Roman" w:cs="Times New Roman"/>
          <w:sz w:val="20"/>
          <w:szCs w:val="20"/>
        </w:rPr>
        <w:t xml:space="preserve"> (Refer to appendix 1)</w:t>
      </w:r>
      <w:r w:rsidR="00132619" w:rsidRPr="00BD37FA">
        <w:rPr>
          <w:rFonts w:ascii="Times New Roman" w:hAnsi="Times New Roman" w:cs="Times New Roman"/>
          <w:sz w:val="20"/>
          <w:szCs w:val="20"/>
        </w:rPr>
        <w:t>.</w:t>
      </w:r>
      <w:r w:rsidR="00132619">
        <w:rPr>
          <w:rFonts w:ascii="Times New Roman" w:hAnsi="Times New Roman" w:cs="Times New Roman"/>
          <w:sz w:val="20"/>
          <w:szCs w:val="20"/>
        </w:rPr>
        <w:t xml:space="preserve"> </w:t>
      </w:r>
      <w:r w:rsidRPr="00ED2414">
        <w:rPr>
          <w:rFonts w:ascii="Times New Roman" w:hAnsi="Times New Roman" w:cs="Times New Roman"/>
          <w:sz w:val="20"/>
          <w:szCs w:val="20"/>
        </w:rPr>
        <w:t>Industry revenue experienced strong growth in 2011, which can be attributed to a 2.2% rise in consumer spending and a 7.4% increase in the number of households earning $100,000 or more. These increases provided consumers with more discretionary income at hand, enabling them to spend more on recreational activities such as skiing and snowboarding, to the benefit of industry operators</w:t>
      </w:r>
      <w:r w:rsidR="001E295B">
        <w:rPr>
          <w:rFonts w:ascii="Times New Roman" w:hAnsi="Times New Roman" w:cs="Times New Roman"/>
          <w:sz w:val="20"/>
          <w:szCs w:val="20"/>
        </w:rPr>
        <w:t>.</w:t>
      </w:r>
    </w:p>
    <w:p w14:paraId="3A05CF79" w14:textId="668BCF95" w:rsidR="00656319" w:rsidRPr="00ED2414" w:rsidRDefault="00082679" w:rsidP="00BD37FA">
      <w:pPr>
        <w:pStyle w:val="Textindent"/>
        <w:spacing w:after="0"/>
        <w:jc w:val="both"/>
        <w:rPr>
          <w:rFonts w:ascii="Times New Roman" w:hAnsi="Times New Roman"/>
          <w:b/>
          <w:bCs/>
        </w:rPr>
      </w:pPr>
      <w:r>
        <w:rPr>
          <w:noProof/>
          <w:lang w:val="en-CA" w:eastAsia="en-CA"/>
        </w:rPr>
        <w:drawing>
          <wp:anchor distT="0" distB="0" distL="114300" distR="114300" simplePos="0" relativeHeight="251696640" behindDoc="1" locked="0" layoutInCell="1" allowOverlap="1" wp14:anchorId="61CE6BC6" wp14:editId="4516D50B">
            <wp:simplePos x="0" y="0"/>
            <wp:positionH relativeFrom="page">
              <wp:posOffset>-60385</wp:posOffset>
            </wp:positionH>
            <wp:positionV relativeFrom="paragraph">
              <wp:posOffset>163159</wp:posOffset>
            </wp:positionV>
            <wp:extent cx="2225615" cy="1725283"/>
            <wp:effectExtent l="0" t="0" r="3810" b="889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D2D658C" w14:textId="50C90AFA" w:rsidR="00082679" w:rsidRDefault="00656319" w:rsidP="00B151CD">
      <w:pPr>
        <w:pStyle w:val="Textindent"/>
        <w:tabs>
          <w:tab w:val="left" w:pos="4365"/>
        </w:tabs>
        <w:spacing w:after="0"/>
        <w:rPr>
          <w:rFonts w:ascii="Times New Roman" w:hAnsi="Times New Roman"/>
          <w:lang w:eastAsia="zh-CN"/>
        </w:rPr>
      </w:pPr>
      <w:r w:rsidRPr="00ED2414">
        <w:rPr>
          <w:rFonts w:ascii="Times New Roman" w:hAnsi="Times New Roman"/>
        </w:rPr>
        <w:t>Whistler has strong pricing power because of it exclusivity, reputation and high quality asse</w:t>
      </w:r>
      <w:r w:rsidR="007C06D3">
        <w:rPr>
          <w:rFonts w:ascii="Times New Roman" w:hAnsi="Times New Roman"/>
        </w:rPr>
        <w:t>ts</w:t>
      </w:r>
      <w:r w:rsidR="00A36EDC">
        <w:rPr>
          <w:rFonts w:ascii="Times New Roman" w:hAnsi="Times New Roman"/>
        </w:rPr>
        <w:t xml:space="preserve"> (refer to appendix 2)</w:t>
      </w:r>
      <w:r w:rsidR="007C06D3">
        <w:rPr>
          <w:rFonts w:ascii="Times New Roman" w:hAnsi="Times New Roman"/>
        </w:rPr>
        <w:t>. Due to its  location, Whistl</w:t>
      </w:r>
      <w:r w:rsidRPr="00ED2414">
        <w:rPr>
          <w:rFonts w:ascii="Times New Roman" w:hAnsi="Times New Roman"/>
        </w:rPr>
        <w:t>er experiences ideal weather and snow conditions when other mountain resorts do not and it is easily accessible to both international and domestic visitors.</w:t>
      </w:r>
      <w:r w:rsidR="00B151CD">
        <w:rPr>
          <w:rFonts w:ascii="Times New Roman" w:hAnsi="Times New Roman"/>
        </w:rPr>
        <w:t xml:space="preserve"> Currently WB’s ETP is 14-16% low</w:t>
      </w:r>
      <w:r w:rsidR="00082679">
        <w:rPr>
          <w:rFonts w:ascii="Times New Roman" w:hAnsi="Times New Roman"/>
        </w:rPr>
        <w:t>er</w:t>
      </w:r>
      <w:r w:rsidR="00B151CD">
        <w:rPr>
          <w:rFonts w:ascii="Times New Roman" w:hAnsi="Times New Roman"/>
        </w:rPr>
        <w:t xml:space="preserve"> </w:t>
      </w:r>
      <w:r w:rsidR="00082679">
        <w:rPr>
          <w:rFonts w:ascii="Times New Roman" w:hAnsi="Times New Roman"/>
        </w:rPr>
        <w:t xml:space="preserve">than </w:t>
      </w:r>
      <w:r w:rsidR="00B151CD">
        <w:rPr>
          <w:rFonts w:ascii="Times New Roman" w:hAnsi="Times New Roman"/>
        </w:rPr>
        <w:t>Vail and Breckenridge</w:t>
      </w:r>
      <w:r w:rsidR="00082679">
        <w:rPr>
          <w:rFonts w:ascii="Times New Roman" w:hAnsi="Times New Roman"/>
        </w:rPr>
        <w:t xml:space="preserve">, which is a strong indication that future ticket price raises are plausible. WB’s annual visit is 25% higher than </w:t>
      </w:r>
      <w:r w:rsidR="00A43D61">
        <w:rPr>
          <w:rFonts w:ascii="Times New Roman" w:hAnsi="Times New Roman"/>
        </w:rPr>
        <w:t>Breckenridge</w:t>
      </w:r>
      <w:r w:rsidR="00082679">
        <w:rPr>
          <w:rFonts w:ascii="Times New Roman" w:hAnsi="Times New Roman"/>
        </w:rPr>
        <w:t xml:space="preserve">, and 23% higher than Vail, however its size is 347% of </w:t>
      </w:r>
      <w:r w:rsidR="00A43D61">
        <w:rPr>
          <w:rFonts w:ascii="Times New Roman" w:hAnsi="Times New Roman"/>
        </w:rPr>
        <w:t>Breckenridge</w:t>
      </w:r>
      <w:r w:rsidR="00082679">
        <w:rPr>
          <w:rFonts w:ascii="Times New Roman" w:hAnsi="Times New Roman"/>
        </w:rPr>
        <w:t xml:space="preserve"> and 154% of Vail. Therefore WB’s capacity utilization rate compared to its peers is relatively low.</w:t>
      </w:r>
    </w:p>
    <w:p w14:paraId="0BF52D3A" w14:textId="3FBAB399" w:rsidR="00656319" w:rsidRDefault="00656319" w:rsidP="00B151CD">
      <w:pPr>
        <w:pStyle w:val="Textindent"/>
        <w:tabs>
          <w:tab w:val="left" w:pos="4365"/>
        </w:tabs>
        <w:spacing w:after="0"/>
        <w:rPr>
          <w:rFonts w:ascii="Times New Roman" w:hAnsi="Times New Roman"/>
        </w:rPr>
      </w:pPr>
      <w:r w:rsidRPr="00ED2414">
        <w:rPr>
          <w:rFonts w:ascii="Times New Roman" w:hAnsi="Times New Roman"/>
        </w:rPr>
        <w:t xml:space="preserve">WB has a close relationship with government </w:t>
      </w:r>
      <w:r w:rsidR="00A43D61" w:rsidRPr="00ED2414">
        <w:rPr>
          <w:rFonts w:ascii="Times New Roman" w:hAnsi="Times New Roman"/>
        </w:rPr>
        <w:t>authorities</w:t>
      </w:r>
      <w:r w:rsidRPr="00ED2414">
        <w:rPr>
          <w:rFonts w:ascii="Times New Roman" w:hAnsi="Times New Roman"/>
        </w:rPr>
        <w:t xml:space="preserve"> and there are significant barriers to entry shown by the lack of new ski resorts in North Am</w:t>
      </w:r>
      <w:r w:rsidR="00A43D61">
        <w:rPr>
          <w:rFonts w:ascii="Times New Roman" w:hAnsi="Times New Roman"/>
        </w:rPr>
        <w:t>erica since 1981. They have a</w:t>
      </w:r>
      <w:r w:rsidRPr="00ED2414">
        <w:rPr>
          <w:rFonts w:ascii="Times New Roman" w:hAnsi="Times New Roman"/>
        </w:rPr>
        <w:t xml:space="preserve"> stable regional base and a diversified global market making it one of the strongest industry players.</w:t>
      </w:r>
      <w:r w:rsidR="00B151CD">
        <w:rPr>
          <w:rFonts w:ascii="Times New Roman" w:hAnsi="Times New Roman"/>
        </w:rPr>
        <w:t xml:space="preserve"> </w:t>
      </w:r>
    </w:p>
    <w:p w14:paraId="57D4BC7F" w14:textId="202530C7" w:rsidR="00656319" w:rsidRPr="00ED2414" w:rsidRDefault="00656319" w:rsidP="00082679">
      <w:pPr>
        <w:pStyle w:val="Textindent"/>
        <w:spacing w:after="0"/>
        <w:ind w:left="0"/>
        <w:jc w:val="both"/>
        <w:rPr>
          <w:rFonts w:ascii="Times New Roman" w:hAnsi="Times New Roman"/>
          <w:b/>
        </w:rPr>
      </w:pPr>
    </w:p>
    <w:p w14:paraId="17503758" w14:textId="2945A718" w:rsidR="00656319" w:rsidRPr="00ED2414" w:rsidRDefault="00656319" w:rsidP="00656319">
      <w:pPr>
        <w:pStyle w:val="Textindent"/>
        <w:spacing w:after="0"/>
        <w:ind w:left="1872" w:firstLine="288"/>
        <w:jc w:val="both"/>
        <w:rPr>
          <w:rFonts w:ascii="Times New Roman" w:hAnsi="Times New Roman"/>
          <w:b/>
          <w:sz w:val="28"/>
          <w:szCs w:val="28"/>
        </w:rPr>
      </w:pPr>
      <w:r w:rsidRPr="00ED2414">
        <w:rPr>
          <w:rFonts w:ascii="Times New Roman" w:hAnsi="Times New Roman"/>
          <w:b/>
          <w:sz w:val="28"/>
          <w:szCs w:val="28"/>
        </w:rPr>
        <w:t xml:space="preserve">Investment Summary </w:t>
      </w:r>
    </w:p>
    <w:p w14:paraId="7B67F153" w14:textId="70D84A4A" w:rsidR="00656319" w:rsidRDefault="00082679" w:rsidP="00656319">
      <w:pPr>
        <w:pStyle w:val="Textindent"/>
        <w:spacing w:after="0"/>
        <w:jc w:val="both"/>
        <w:rPr>
          <w:rFonts w:ascii="Times New Roman" w:hAnsi="Times New Roman"/>
          <w:bCs/>
        </w:rPr>
      </w:pPr>
      <w:r w:rsidRPr="00BD37FA">
        <w:rPr>
          <w:rFonts w:ascii="Times New Roman" w:eastAsia="Times New Roman" w:hAnsi="Times New Roman"/>
          <w:noProof/>
          <w:sz w:val="24"/>
          <w:szCs w:val="24"/>
          <w:lang w:val="en-CA" w:eastAsia="en-CA"/>
        </w:rPr>
        <w:drawing>
          <wp:anchor distT="0" distB="0" distL="114300" distR="114300" simplePos="0" relativeHeight="251695616" behindDoc="1" locked="0" layoutInCell="1" allowOverlap="1" wp14:anchorId="127D9091" wp14:editId="78ADA2E2">
            <wp:simplePos x="0" y="0"/>
            <wp:positionH relativeFrom="page">
              <wp:posOffset>-159420</wp:posOffset>
            </wp:positionH>
            <wp:positionV relativeFrom="paragraph">
              <wp:posOffset>265694</wp:posOffset>
            </wp:positionV>
            <wp:extent cx="2277374" cy="1988820"/>
            <wp:effectExtent l="0" t="0" r="8890" b="0"/>
            <wp:wrapNone/>
            <wp:docPr id="521" name="Picture 521" descr="C:\Users\BB\AppData\Roaming\Tencent\Users\372767848\QQ\WinTemp\RichOle\H4]KKYDH0`R]EATMHGU2](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B\AppData\Roaming\Tencent\Users\372767848\QQ\WinTemp\RichOle\H4]KKYDH0`R]EATMHGU2](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7374" cy="198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319" w:rsidRPr="00ED2414">
        <w:rPr>
          <w:rFonts w:ascii="Times New Roman" w:hAnsi="Times New Roman"/>
          <w:bCs/>
        </w:rPr>
        <w:t xml:space="preserve">We issues a Hold </w:t>
      </w:r>
      <w:r w:rsidR="00A43D61" w:rsidRPr="00ED2414">
        <w:rPr>
          <w:rFonts w:ascii="Times New Roman" w:hAnsi="Times New Roman"/>
          <w:bCs/>
        </w:rPr>
        <w:t>Recommendation</w:t>
      </w:r>
      <w:r w:rsidR="00656319" w:rsidRPr="00ED2414">
        <w:rPr>
          <w:rFonts w:ascii="Times New Roman" w:hAnsi="Times New Roman"/>
          <w:bCs/>
        </w:rPr>
        <w:t xml:space="preserve"> on Whistler Blackcomb (WB) with a target price of $26 using a Discounted Cash Flow Analysis</w:t>
      </w:r>
      <w:r w:rsidR="006F1F2C">
        <w:rPr>
          <w:rFonts w:ascii="Times New Roman" w:hAnsi="Times New Roman"/>
          <w:bCs/>
        </w:rPr>
        <w:t xml:space="preserve"> and</w:t>
      </w:r>
      <w:r w:rsidR="00656319" w:rsidRPr="00ED2414">
        <w:rPr>
          <w:rFonts w:ascii="Times New Roman" w:hAnsi="Times New Roman"/>
          <w:bCs/>
        </w:rPr>
        <w:t xml:space="preserve"> Relative Multiples valuation. Our valuation is also supported by substantial qualitative factors. </w:t>
      </w:r>
    </w:p>
    <w:p w14:paraId="6F9307CD" w14:textId="77777777" w:rsidR="00BD37FA" w:rsidRPr="00ED2414" w:rsidRDefault="00BD37FA" w:rsidP="00656319">
      <w:pPr>
        <w:pStyle w:val="Textindent"/>
        <w:spacing w:after="0"/>
        <w:jc w:val="both"/>
        <w:rPr>
          <w:rFonts w:ascii="Times New Roman" w:hAnsi="Times New Roman"/>
          <w:bCs/>
        </w:rPr>
      </w:pPr>
    </w:p>
    <w:p w14:paraId="6283E3E2" w14:textId="0ABD819D" w:rsidR="00BD37FA" w:rsidRPr="00BD37FA" w:rsidRDefault="00BD37FA" w:rsidP="00BD37FA">
      <w:pPr>
        <w:pStyle w:val="Textindent"/>
        <w:rPr>
          <w:rFonts w:ascii="Times New Roman" w:hAnsi="Times New Roman"/>
          <w:bCs/>
        </w:rPr>
      </w:pPr>
      <w:r w:rsidRPr="00BD37FA">
        <w:rPr>
          <w:rFonts w:ascii="Times New Roman" w:hAnsi="Times New Roman"/>
          <w:b/>
          <w:bCs/>
        </w:rPr>
        <w:t>Canadian Currency Advantages</w:t>
      </w:r>
      <w:r>
        <w:rPr>
          <w:rFonts w:ascii="Times New Roman" w:hAnsi="Times New Roman"/>
          <w:bCs/>
        </w:rPr>
        <w:br/>
        <w:t>Company executives are</w:t>
      </w:r>
      <w:r w:rsidRPr="00BD37FA">
        <w:rPr>
          <w:rFonts w:ascii="Times New Roman" w:hAnsi="Times New Roman"/>
          <w:bCs/>
        </w:rPr>
        <w:t xml:space="preserve"> enthusiastic about the low Canadian dollar and the tailwinds this will create for international visitor revenue growth moving forward. The sustained lull in oil prices should keep the Canadian dollar lower for longer and induce international travelers to take advantage of this as they realize the price savings they will realize by taking at trip to Canada. </w:t>
      </w:r>
    </w:p>
    <w:p w14:paraId="5DA1EC7F" w14:textId="03B47DEB" w:rsidR="00656319" w:rsidRDefault="00BD37FA" w:rsidP="00BD37FA">
      <w:pPr>
        <w:pStyle w:val="Textindent"/>
        <w:rPr>
          <w:rFonts w:ascii="Times New Roman" w:hAnsi="Times New Roman"/>
          <w:bCs/>
        </w:rPr>
      </w:pPr>
      <w:r w:rsidRPr="00BD37FA">
        <w:rPr>
          <w:rFonts w:ascii="Times New Roman" w:hAnsi="Times New Roman"/>
          <w:bCs/>
        </w:rPr>
        <w:t xml:space="preserve">Overall, WB has a strong customer draw and the company is able to effectively implement a significant price premium in its business model. We like the companies focus on profitability through high effective ticket prices, their ability to stay EBITDA cash positive in the summer, their established ties with governments, the emphasis on environmental sustainability and the recent additions to infrastructure. We believe the company will continue to be able to pay a healthy dividend in the future while continuing to see moderate growth. The low Canadian dollar </w:t>
      </w:r>
      <w:r w:rsidRPr="00BD37FA">
        <w:rPr>
          <w:rFonts w:ascii="Times New Roman" w:hAnsi="Times New Roman"/>
          <w:bCs/>
        </w:rPr>
        <w:lastRenderedPageBreak/>
        <w:t xml:space="preserve">should provide a tailwind to the stock price in the medium term, </w:t>
      </w:r>
      <w:r w:rsidR="00A43D61" w:rsidRPr="00BD37FA">
        <w:rPr>
          <w:rFonts w:ascii="Times New Roman" w:hAnsi="Times New Roman"/>
          <w:bCs/>
        </w:rPr>
        <w:t>especially</w:t>
      </w:r>
      <w:r w:rsidRPr="00BD37FA">
        <w:rPr>
          <w:rFonts w:ascii="Times New Roman" w:hAnsi="Times New Roman"/>
          <w:bCs/>
        </w:rPr>
        <w:t xml:space="preserve"> for the 2016-2017 ski season.</w:t>
      </w:r>
    </w:p>
    <w:p w14:paraId="0DB69643" w14:textId="77777777" w:rsidR="00BD37FA" w:rsidRPr="00ED2414" w:rsidRDefault="00BD37FA" w:rsidP="00BD37FA">
      <w:pPr>
        <w:pStyle w:val="Textindent"/>
        <w:spacing w:after="0"/>
        <w:rPr>
          <w:rFonts w:ascii="Times New Roman" w:hAnsi="Times New Roman"/>
        </w:rPr>
      </w:pPr>
      <w:r w:rsidRPr="00ED2414">
        <w:rPr>
          <w:rFonts w:ascii="Times New Roman" w:hAnsi="Times New Roman"/>
          <w:b/>
        </w:rPr>
        <w:t>Available Capacity and Infrastructure</w:t>
      </w:r>
      <w:r w:rsidRPr="00ED2414">
        <w:rPr>
          <w:rFonts w:ascii="Times New Roman" w:hAnsi="Times New Roman"/>
        </w:rPr>
        <w:br/>
        <w:t>Expanded infrastructure, especially including the Sea to Sky highway expansion and facilities built due to the Olympics, helps increase traffic flow to the resort and provides substantial capacity for peak operating times. The recently built Peak 2 Peak gondola is also a favorable new addition to the mountain that will continue to help the marketability and experience of the WB summer operations.</w:t>
      </w:r>
    </w:p>
    <w:p w14:paraId="21387393" w14:textId="77777777" w:rsidR="00BD37FA" w:rsidRPr="00ED2414" w:rsidRDefault="00BD37FA" w:rsidP="00656319">
      <w:pPr>
        <w:pStyle w:val="Textindent"/>
        <w:spacing w:after="0"/>
        <w:jc w:val="both"/>
        <w:rPr>
          <w:rFonts w:ascii="Times New Roman" w:hAnsi="Times New Roman"/>
          <w:bCs/>
        </w:rPr>
      </w:pPr>
    </w:p>
    <w:p w14:paraId="27FA9AFB" w14:textId="49BDC426" w:rsidR="00656319" w:rsidRPr="00ED2414" w:rsidRDefault="00656319" w:rsidP="00656319">
      <w:pPr>
        <w:pStyle w:val="Textindent"/>
        <w:spacing w:after="0"/>
        <w:rPr>
          <w:rFonts w:ascii="Times New Roman" w:hAnsi="Times New Roman"/>
          <w:bCs/>
        </w:rPr>
      </w:pPr>
      <w:r w:rsidRPr="00ED2414">
        <w:rPr>
          <w:rFonts w:ascii="Times New Roman" w:hAnsi="Times New Roman"/>
          <w:b/>
          <w:bCs/>
        </w:rPr>
        <w:t xml:space="preserve">Strong Reputation </w:t>
      </w:r>
      <w:r w:rsidRPr="00ED2414">
        <w:rPr>
          <w:rFonts w:ascii="Times New Roman" w:hAnsi="Times New Roman"/>
          <w:bCs/>
        </w:rPr>
        <w:br/>
        <w:t>Much of the positive outlook on WB comes from the high quality reputation that the ski community has given to the Whistler-Blackcomb ski experience. Worldwide, it is a popular destination for a premium winter vacation and it has again been rated as the Best Ski Resort in the wor</w:t>
      </w:r>
      <w:r w:rsidR="00BD37FA">
        <w:rPr>
          <w:rFonts w:ascii="Times New Roman" w:hAnsi="Times New Roman"/>
          <w:bCs/>
        </w:rPr>
        <w:t xml:space="preserve">ld by Ski Magazine for 2016. </w:t>
      </w:r>
      <w:r w:rsidR="00BD37FA">
        <w:rPr>
          <w:rFonts w:ascii="Times New Roman" w:hAnsi="Times New Roman"/>
          <w:bCs/>
        </w:rPr>
        <w:br/>
      </w:r>
      <w:r w:rsidR="00BD37FA">
        <w:rPr>
          <w:rFonts w:ascii="Times New Roman" w:hAnsi="Times New Roman"/>
          <w:bCs/>
        </w:rPr>
        <w:br/>
      </w:r>
      <w:r w:rsidRPr="00ED2414">
        <w:rPr>
          <w:rFonts w:ascii="Times New Roman" w:hAnsi="Times New Roman"/>
          <w:bCs/>
        </w:rPr>
        <w:t xml:space="preserve">A large part of this strong reputation comes from the ability for WB to withstand harsh seasonal conditions and produce quality snow and run conditions despite suboptimal weather. WB suffers much less than its competitors in less than ideal conditions and this actually induces skiers to choose Whistler instead of various other resorts during slower growth </w:t>
      </w:r>
      <w:r w:rsidR="00BD37FA">
        <w:rPr>
          <w:rFonts w:ascii="Times New Roman" w:hAnsi="Times New Roman"/>
          <w:bCs/>
        </w:rPr>
        <w:t>periods. This has helped create</w:t>
      </w:r>
      <w:r w:rsidRPr="00ED2414">
        <w:rPr>
          <w:rFonts w:ascii="Times New Roman" w:hAnsi="Times New Roman"/>
          <w:bCs/>
        </w:rPr>
        <w:t xml:space="preserve"> strong floor in the business operations and br</w:t>
      </w:r>
      <w:r w:rsidR="00BD37FA">
        <w:rPr>
          <w:rFonts w:ascii="Times New Roman" w:hAnsi="Times New Roman"/>
          <w:bCs/>
        </w:rPr>
        <w:t>ought</w:t>
      </w:r>
      <w:r w:rsidRPr="00ED2414">
        <w:rPr>
          <w:rFonts w:ascii="Times New Roman" w:hAnsi="Times New Roman"/>
          <w:bCs/>
        </w:rPr>
        <w:t xml:space="preserve"> Whistler a sustainable competitive advantage. It is very encouraging that Whistler has turned their summer operations into a positive cash EBITDA position. This means that the company is able to cover itself over the slower summer season and avoid cash flow issues as they progress through the natural seasonality of the ski resort business. We like the fact that the domestic/regional customer base is very active in the summer and can be counted on to create strong year-round activity in Whistler.</w:t>
      </w:r>
    </w:p>
    <w:p w14:paraId="44C19C89" w14:textId="55302F60" w:rsidR="00656319" w:rsidRPr="00ED2414" w:rsidRDefault="00656319" w:rsidP="00656319">
      <w:pPr>
        <w:pStyle w:val="Textindent"/>
        <w:spacing w:after="0"/>
        <w:rPr>
          <w:rFonts w:ascii="Times New Roman" w:hAnsi="Times New Roman"/>
        </w:rPr>
      </w:pPr>
      <w:r w:rsidRPr="00ED2414">
        <w:rPr>
          <w:rFonts w:ascii="Times New Roman" w:hAnsi="Times New Roman"/>
        </w:rPr>
        <w:br/>
      </w:r>
      <w:r w:rsidR="00BD37FA">
        <w:rPr>
          <w:rFonts w:ascii="Times New Roman" w:hAnsi="Times New Roman"/>
          <w:b/>
        </w:rPr>
        <w:t>Well-established Government</w:t>
      </w:r>
      <w:r w:rsidRPr="00ED2414">
        <w:rPr>
          <w:rFonts w:ascii="Times New Roman" w:hAnsi="Times New Roman"/>
          <w:b/>
        </w:rPr>
        <w:t xml:space="preserve"> Regulations</w:t>
      </w:r>
    </w:p>
    <w:p w14:paraId="529F195F" w14:textId="16E3EDF6" w:rsidR="00656319" w:rsidRPr="00ED2414" w:rsidRDefault="00656319" w:rsidP="00656319">
      <w:pPr>
        <w:pStyle w:val="Textindent"/>
        <w:spacing w:after="0"/>
        <w:rPr>
          <w:rFonts w:ascii="Times New Roman" w:hAnsi="Times New Roman"/>
        </w:rPr>
      </w:pPr>
      <w:r w:rsidRPr="00ED2414">
        <w:rPr>
          <w:rFonts w:ascii="Times New Roman" w:hAnsi="Times New Roman"/>
        </w:rPr>
        <w:t xml:space="preserve">Barriers to </w:t>
      </w:r>
      <w:r w:rsidR="00BD37FA">
        <w:rPr>
          <w:rFonts w:ascii="Times New Roman" w:hAnsi="Times New Roman"/>
        </w:rPr>
        <w:t xml:space="preserve">new entrants </w:t>
      </w:r>
      <w:r w:rsidRPr="00ED2414">
        <w:rPr>
          <w:rFonts w:ascii="Times New Roman" w:hAnsi="Times New Roman"/>
        </w:rPr>
        <w:t>are extremely</w:t>
      </w:r>
      <w:r w:rsidR="00BD37FA">
        <w:rPr>
          <w:rFonts w:ascii="Times New Roman" w:hAnsi="Times New Roman"/>
        </w:rPr>
        <w:t xml:space="preserve"> high due to the natural limitation to the</w:t>
      </w:r>
      <w:r w:rsidRPr="00ED2414">
        <w:rPr>
          <w:rFonts w:ascii="Times New Roman" w:hAnsi="Times New Roman"/>
        </w:rPr>
        <w:t xml:space="preserve"> supply of quality mountains and various regulatory requirements. We believe that the company is in a strong regulatory position moving forward. Company executives have close ties to the BC provincial government and Whistler is a prominent resort that has covered its basis in terms of environmental responsibility and safety. Executives are committed to working with new climate regulations as they are </w:t>
      </w:r>
      <w:r w:rsidR="00A43D61" w:rsidRPr="00ED2414">
        <w:rPr>
          <w:rFonts w:ascii="Times New Roman" w:hAnsi="Times New Roman"/>
        </w:rPr>
        <w:t>announced</w:t>
      </w:r>
      <w:r w:rsidR="00A43D61">
        <w:rPr>
          <w:rFonts w:ascii="Times New Roman" w:hAnsi="Times New Roman"/>
        </w:rPr>
        <w:t>.</w:t>
      </w:r>
      <w:r w:rsidR="00A43D61" w:rsidRPr="00ED2414">
        <w:rPr>
          <w:rFonts w:ascii="Times New Roman" w:hAnsi="Times New Roman"/>
        </w:rPr>
        <w:t xml:space="preserve"> We</w:t>
      </w:r>
      <w:r w:rsidRPr="00ED2414">
        <w:rPr>
          <w:rFonts w:ascii="Times New Roman" w:hAnsi="Times New Roman"/>
        </w:rPr>
        <w:t xml:space="preserve"> es</w:t>
      </w:r>
      <w:r w:rsidR="00BD37FA">
        <w:rPr>
          <w:rFonts w:ascii="Times New Roman" w:hAnsi="Times New Roman"/>
        </w:rPr>
        <w:t xml:space="preserve">pecially like WB’s partnership </w:t>
      </w:r>
      <w:r w:rsidRPr="00ED2414">
        <w:rPr>
          <w:rFonts w:ascii="Times New Roman" w:hAnsi="Times New Roman"/>
        </w:rPr>
        <w:t>with renewable hydroelectricity under the Peak 2 Peak gondola (32Gwh annually, enough to power ~3,500 homes for a year) which further indicates the intertwined vertical value chain and long term sustainability of the business model. WB is energy neutral and actually returns power to the grid, which is a strong positive in today’s increasingly stringent environmentally conscious world.</w:t>
      </w:r>
      <w:r w:rsidRPr="00ED2414">
        <w:rPr>
          <w:rFonts w:ascii="Times New Roman" w:hAnsi="Times New Roman"/>
        </w:rPr>
        <w:br/>
      </w:r>
      <w:r w:rsidRPr="00ED2414">
        <w:rPr>
          <w:rFonts w:ascii="Times New Roman" w:hAnsi="Times New Roman"/>
        </w:rPr>
        <w:br/>
      </w:r>
    </w:p>
    <w:p w14:paraId="3C9D370A" w14:textId="77777777" w:rsidR="00656319" w:rsidRPr="00ED2414" w:rsidRDefault="00656319" w:rsidP="00656319">
      <w:pPr>
        <w:pStyle w:val="Textindent"/>
        <w:spacing w:after="0"/>
        <w:rPr>
          <w:rFonts w:ascii="Times New Roman" w:hAnsi="Times New Roman"/>
        </w:rPr>
      </w:pPr>
    </w:p>
    <w:p w14:paraId="6B5C069B" w14:textId="45BCFF5B" w:rsidR="00656319" w:rsidRPr="00ED2414" w:rsidRDefault="006F1F2C" w:rsidP="00656319">
      <w:pPr>
        <w:pStyle w:val="Textindent"/>
        <w:pBdr>
          <w:top w:val="single" w:sz="8" w:space="1" w:color="auto"/>
        </w:pBdr>
        <w:spacing w:after="0"/>
        <w:jc w:val="both"/>
        <w:rPr>
          <w:rFonts w:ascii="Times New Roman" w:hAnsi="Times New Roman"/>
          <w:b/>
          <w:bCs/>
        </w:rPr>
      </w:pPr>
      <w:r>
        <w:rPr>
          <w:rFonts w:ascii="Times New Roman" w:hAnsi="Times New Roman"/>
          <w:noProof/>
          <w:color w:val="333333"/>
          <w:lang w:val="en-CA" w:eastAsia="en-CA"/>
        </w:rPr>
        <w:drawing>
          <wp:anchor distT="0" distB="0" distL="114300" distR="114300" simplePos="0" relativeHeight="251661824" behindDoc="1" locked="0" layoutInCell="1" allowOverlap="1" wp14:anchorId="48797848" wp14:editId="1D8ABD1D">
            <wp:simplePos x="0" y="0"/>
            <wp:positionH relativeFrom="column">
              <wp:posOffset>-483870</wp:posOffset>
            </wp:positionH>
            <wp:positionV relativeFrom="paragraph">
              <wp:posOffset>251460</wp:posOffset>
            </wp:positionV>
            <wp:extent cx="7343775" cy="2782131"/>
            <wp:effectExtent l="0" t="0" r="0" b="0"/>
            <wp:wrapNone/>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56953" cy="2787123"/>
                    </a:xfrm>
                    <a:prstGeom prst="rect">
                      <a:avLst/>
                    </a:prstGeom>
                    <a:noFill/>
                    <a:ln>
                      <a:noFill/>
                    </a:ln>
                  </pic:spPr>
                </pic:pic>
              </a:graphicData>
            </a:graphic>
            <wp14:sizeRelH relativeFrom="page">
              <wp14:pctWidth>0</wp14:pctWidth>
            </wp14:sizeRelH>
            <wp14:sizeRelV relativeFrom="page">
              <wp14:pctHeight>0</wp14:pctHeight>
            </wp14:sizeRelV>
          </wp:anchor>
        </w:drawing>
      </w:r>
      <w:r w:rsidR="00656319" w:rsidRPr="00ED2414">
        <w:rPr>
          <w:rFonts w:ascii="Times New Roman" w:hAnsi="Times New Roman"/>
          <w:b/>
          <w:bCs/>
        </w:rPr>
        <w:t xml:space="preserve">Figure 1: </w:t>
      </w:r>
      <w:r w:rsidR="00ED2414">
        <w:rPr>
          <w:rFonts w:ascii="Times New Roman" w:hAnsi="Times New Roman"/>
          <w:b/>
          <w:bCs/>
        </w:rPr>
        <w:t xml:space="preserve">Share Price &amp; </w:t>
      </w:r>
      <w:r w:rsidR="00A43D61">
        <w:rPr>
          <w:rFonts w:ascii="Times New Roman" w:hAnsi="Times New Roman"/>
          <w:b/>
          <w:bCs/>
        </w:rPr>
        <w:t>News flows</w:t>
      </w:r>
      <w:r w:rsidR="00ED2414">
        <w:rPr>
          <w:rFonts w:ascii="Times New Roman" w:hAnsi="Times New Roman"/>
          <w:b/>
          <w:bCs/>
        </w:rPr>
        <w:t xml:space="preserve"> </w:t>
      </w:r>
    </w:p>
    <w:p w14:paraId="0C18CC69" w14:textId="6DB7A169" w:rsidR="00656319" w:rsidRDefault="00656319" w:rsidP="00656319">
      <w:pPr>
        <w:pStyle w:val="Textindent"/>
        <w:pBdr>
          <w:bottom w:val="single" w:sz="8" w:space="1" w:color="auto"/>
        </w:pBdr>
        <w:spacing w:after="0"/>
        <w:jc w:val="both"/>
        <w:rPr>
          <w:rFonts w:ascii="Times New Roman" w:hAnsi="Times New Roman"/>
          <w:color w:val="333333"/>
        </w:rPr>
      </w:pPr>
    </w:p>
    <w:p w14:paraId="551E349F"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02D58A09"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551D3FAE"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5E20C9D5"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2AEBD622"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3482A374"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12C56F76"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29E4E69B" w14:textId="2F177BED" w:rsidR="00ED2414" w:rsidRDefault="00ED2414" w:rsidP="00656319">
      <w:pPr>
        <w:pStyle w:val="Textindent"/>
        <w:pBdr>
          <w:bottom w:val="single" w:sz="8" w:space="1" w:color="auto"/>
        </w:pBdr>
        <w:spacing w:after="0"/>
        <w:jc w:val="both"/>
        <w:rPr>
          <w:rFonts w:ascii="Times New Roman" w:hAnsi="Times New Roman"/>
          <w:color w:val="333333"/>
        </w:rPr>
      </w:pPr>
    </w:p>
    <w:p w14:paraId="4D6F92DD"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4C61F7DC"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656E8903"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5C8B2CFA"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62495A72"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331FA946" w14:textId="77777777" w:rsidR="00ED2414" w:rsidRDefault="00ED2414" w:rsidP="00656319">
      <w:pPr>
        <w:pStyle w:val="Textindent"/>
        <w:pBdr>
          <w:bottom w:val="single" w:sz="8" w:space="1" w:color="auto"/>
        </w:pBdr>
        <w:spacing w:after="0"/>
        <w:jc w:val="both"/>
        <w:rPr>
          <w:rFonts w:ascii="Times New Roman" w:hAnsi="Times New Roman"/>
          <w:color w:val="333333"/>
        </w:rPr>
      </w:pPr>
    </w:p>
    <w:p w14:paraId="2D939996" w14:textId="5BF21546" w:rsidR="005F1FC9" w:rsidRPr="0031593B" w:rsidRDefault="005F1FC9" w:rsidP="005F1FC9">
      <w:pPr>
        <w:pStyle w:val="Heading1"/>
        <w:spacing w:before="0"/>
        <w:ind w:left="2160"/>
        <w:rPr>
          <w:rStyle w:val="IntenseReference"/>
          <w:rFonts w:ascii="Times New Roman" w:hAnsi="Times New Roman"/>
          <w:b/>
          <w:bCs w:val="0"/>
          <w:smallCaps w:val="0"/>
          <w:color w:val="auto"/>
          <w:spacing w:val="0"/>
          <w:szCs w:val="28"/>
        </w:rPr>
      </w:pPr>
      <w:r w:rsidRPr="00ED2414">
        <w:rPr>
          <w:rFonts w:ascii="Times New Roman" w:hAnsi="Times New Roman"/>
          <w:szCs w:val="28"/>
        </w:rPr>
        <w:lastRenderedPageBreak/>
        <w:t>Financial Analysi</w:t>
      </w:r>
      <w:r>
        <w:rPr>
          <w:rFonts w:ascii="Times New Roman" w:hAnsi="Times New Roman"/>
          <w:szCs w:val="28"/>
        </w:rPr>
        <w:t>s</w:t>
      </w:r>
    </w:p>
    <w:p w14:paraId="69DBE269" w14:textId="6193AC45" w:rsidR="00656319" w:rsidRPr="0031593B" w:rsidRDefault="00656319" w:rsidP="005F1FC9">
      <w:pPr>
        <w:pStyle w:val="Heading1"/>
        <w:spacing w:before="0"/>
        <w:rPr>
          <w:rStyle w:val="IntenseReference"/>
          <w:rFonts w:ascii="Times New Roman" w:hAnsi="Times New Roman"/>
          <w:b/>
          <w:bCs w:val="0"/>
          <w:smallCaps w:val="0"/>
          <w:color w:val="auto"/>
          <w:spacing w:val="0"/>
          <w:szCs w:val="28"/>
        </w:rPr>
      </w:pPr>
    </w:p>
    <w:tbl>
      <w:tblPr>
        <w:tblpPr w:leftFromText="180" w:rightFromText="180" w:vertAnchor="text" w:horzAnchor="margin" w:tblpXSpec="center" w:tblpY="-66"/>
        <w:tblW w:w="11665" w:type="dxa"/>
        <w:tblLook w:val="04A0" w:firstRow="1" w:lastRow="0" w:firstColumn="1" w:lastColumn="0" w:noHBand="0" w:noVBand="1"/>
      </w:tblPr>
      <w:tblGrid>
        <w:gridCol w:w="2458"/>
        <w:gridCol w:w="1023"/>
        <w:gridCol w:w="1023"/>
        <w:gridCol w:w="1023"/>
        <w:gridCol w:w="1023"/>
        <w:gridCol w:w="1023"/>
        <w:gridCol w:w="1023"/>
        <w:gridCol w:w="1023"/>
        <w:gridCol w:w="1023"/>
        <w:gridCol w:w="1023"/>
      </w:tblGrid>
      <w:tr w:rsidR="0072086A" w:rsidRPr="0072086A" w14:paraId="2E8D9323" w14:textId="77777777" w:rsidTr="005F1FC9">
        <w:trPr>
          <w:trHeight w:val="266"/>
        </w:trPr>
        <w:tc>
          <w:tcPr>
            <w:tcW w:w="2458" w:type="dxa"/>
            <w:tcBorders>
              <w:top w:val="single" w:sz="8" w:space="0" w:color="auto"/>
              <w:left w:val="single" w:sz="8" w:space="0" w:color="auto"/>
              <w:bottom w:val="nil"/>
              <w:right w:val="nil"/>
            </w:tcBorders>
            <w:shd w:val="clear" w:color="000000" w:fill="002060"/>
            <w:noWrap/>
            <w:vAlign w:val="bottom"/>
            <w:hideMark/>
          </w:tcPr>
          <w:p w14:paraId="08121282" w14:textId="77777777" w:rsidR="0072086A" w:rsidRPr="0072086A" w:rsidRDefault="0072086A" w:rsidP="0072086A">
            <w:pPr>
              <w:rPr>
                <w:rFonts w:ascii="Times New Roman" w:hAnsi="Times New Roman"/>
                <w:b/>
                <w:bCs/>
                <w:color w:val="FFFFFF"/>
                <w:lang w:val="en-CA" w:eastAsia="zh-CN"/>
              </w:rPr>
            </w:pPr>
            <w:r w:rsidRPr="0072086A">
              <w:rPr>
                <w:rFonts w:ascii="Times New Roman" w:hAnsi="Times New Roman"/>
                <w:b/>
                <w:bCs/>
                <w:color w:val="FFFFFF"/>
                <w:lang w:val="en-CA" w:eastAsia="zh-CN"/>
              </w:rPr>
              <w:t>Ratios</w:t>
            </w:r>
          </w:p>
        </w:tc>
        <w:tc>
          <w:tcPr>
            <w:tcW w:w="1023" w:type="dxa"/>
            <w:tcBorders>
              <w:top w:val="single" w:sz="8" w:space="0" w:color="auto"/>
              <w:left w:val="nil"/>
              <w:bottom w:val="nil"/>
              <w:right w:val="nil"/>
            </w:tcBorders>
            <w:shd w:val="clear" w:color="000000" w:fill="002060"/>
            <w:noWrap/>
            <w:vAlign w:val="bottom"/>
            <w:hideMark/>
          </w:tcPr>
          <w:p w14:paraId="385CCCE5" w14:textId="77777777" w:rsidR="0072086A" w:rsidRPr="0072086A" w:rsidRDefault="0072086A" w:rsidP="0072086A">
            <w:pPr>
              <w:jc w:val="right"/>
              <w:rPr>
                <w:rFonts w:ascii="Times New Roman" w:hAnsi="Times New Roman"/>
                <w:b/>
                <w:bCs/>
                <w:color w:val="FFFFFF"/>
                <w:lang w:val="en-CA" w:eastAsia="zh-CN"/>
              </w:rPr>
            </w:pPr>
            <w:r w:rsidRPr="0072086A">
              <w:rPr>
                <w:rFonts w:ascii="Times New Roman" w:hAnsi="Times New Roman"/>
                <w:b/>
                <w:bCs/>
                <w:color w:val="FFFFFF"/>
                <w:lang w:val="en-CA" w:eastAsia="zh-CN"/>
              </w:rPr>
              <w:t>2012</w:t>
            </w:r>
          </w:p>
        </w:tc>
        <w:tc>
          <w:tcPr>
            <w:tcW w:w="1023" w:type="dxa"/>
            <w:tcBorders>
              <w:top w:val="single" w:sz="8" w:space="0" w:color="auto"/>
              <w:left w:val="nil"/>
              <w:bottom w:val="nil"/>
              <w:right w:val="nil"/>
            </w:tcBorders>
            <w:shd w:val="clear" w:color="000000" w:fill="002060"/>
            <w:noWrap/>
            <w:vAlign w:val="bottom"/>
            <w:hideMark/>
          </w:tcPr>
          <w:p w14:paraId="5B2D5035" w14:textId="77777777" w:rsidR="0072086A" w:rsidRPr="0072086A" w:rsidRDefault="0072086A" w:rsidP="0072086A">
            <w:pPr>
              <w:jc w:val="right"/>
              <w:rPr>
                <w:rFonts w:ascii="Times New Roman" w:hAnsi="Times New Roman"/>
                <w:b/>
                <w:bCs/>
                <w:color w:val="FFFFFF"/>
                <w:lang w:val="en-CA" w:eastAsia="zh-CN"/>
              </w:rPr>
            </w:pPr>
            <w:r w:rsidRPr="0072086A">
              <w:rPr>
                <w:rFonts w:ascii="Times New Roman" w:hAnsi="Times New Roman"/>
                <w:b/>
                <w:bCs/>
                <w:color w:val="FFFFFF"/>
                <w:lang w:val="en-CA" w:eastAsia="zh-CN"/>
              </w:rPr>
              <w:t>2013</w:t>
            </w:r>
          </w:p>
        </w:tc>
        <w:tc>
          <w:tcPr>
            <w:tcW w:w="1023" w:type="dxa"/>
            <w:tcBorders>
              <w:top w:val="single" w:sz="8" w:space="0" w:color="auto"/>
              <w:left w:val="nil"/>
              <w:bottom w:val="nil"/>
              <w:right w:val="nil"/>
            </w:tcBorders>
            <w:shd w:val="clear" w:color="000000" w:fill="002060"/>
            <w:noWrap/>
            <w:vAlign w:val="bottom"/>
            <w:hideMark/>
          </w:tcPr>
          <w:p w14:paraId="746AEFB2" w14:textId="77777777" w:rsidR="0072086A" w:rsidRPr="0072086A" w:rsidRDefault="0072086A" w:rsidP="0072086A">
            <w:pPr>
              <w:jc w:val="right"/>
              <w:rPr>
                <w:rFonts w:ascii="Times New Roman" w:hAnsi="Times New Roman"/>
                <w:b/>
                <w:bCs/>
                <w:color w:val="FFFFFF"/>
                <w:lang w:val="en-CA" w:eastAsia="zh-CN"/>
              </w:rPr>
            </w:pPr>
            <w:r w:rsidRPr="0072086A">
              <w:rPr>
                <w:rFonts w:ascii="Times New Roman" w:hAnsi="Times New Roman"/>
                <w:b/>
                <w:bCs/>
                <w:color w:val="FFFFFF"/>
                <w:lang w:val="en-CA" w:eastAsia="zh-CN"/>
              </w:rPr>
              <w:t>2014</w:t>
            </w:r>
          </w:p>
        </w:tc>
        <w:tc>
          <w:tcPr>
            <w:tcW w:w="1023" w:type="dxa"/>
            <w:tcBorders>
              <w:top w:val="single" w:sz="8" w:space="0" w:color="auto"/>
              <w:left w:val="nil"/>
              <w:bottom w:val="nil"/>
              <w:right w:val="nil"/>
            </w:tcBorders>
            <w:shd w:val="clear" w:color="000000" w:fill="002060"/>
            <w:noWrap/>
            <w:vAlign w:val="bottom"/>
            <w:hideMark/>
          </w:tcPr>
          <w:p w14:paraId="457A75D3" w14:textId="77777777" w:rsidR="0072086A" w:rsidRPr="0072086A" w:rsidRDefault="0072086A" w:rsidP="0072086A">
            <w:pPr>
              <w:jc w:val="right"/>
              <w:rPr>
                <w:rFonts w:ascii="Times New Roman" w:hAnsi="Times New Roman"/>
                <w:b/>
                <w:bCs/>
                <w:color w:val="FFFFFF"/>
                <w:lang w:val="en-CA" w:eastAsia="zh-CN"/>
              </w:rPr>
            </w:pPr>
            <w:r w:rsidRPr="0072086A">
              <w:rPr>
                <w:rFonts w:ascii="Times New Roman" w:hAnsi="Times New Roman"/>
                <w:b/>
                <w:bCs/>
                <w:color w:val="FFFFFF"/>
                <w:lang w:val="en-CA" w:eastAsia="zh-CN"/>
              </w:rPr>
              <w:t>2015</w:t>
            </w:r>
          </w:p>
        </w:tc>
        <w:tc>
          <w:tcPr>
            <w:tcW w:w="1023" w:type="dxa"/>
            <w:tcBorders>
              <w:top w:val="single" w:sz="8" w:space="0" w:color="auto"/>
              <w:left w:val="nil"/>
              <w:bottom w:val="nil"/>
              <w:right w:val="nil"/>
            </w:tcBorders>
            <w:shd w:val="clear" w:color="000000" w:fill="002060"/>
            <w:noWrap/>
            <w:vAlign w:val="bottom"/>
            <w:hideMark/>
          </w:tcPr>
          <w:p w14:paraId="06070ABB" w14:textId="5F0BB0C3" w:rsidR="0072086A" w:rsidRPr="0072086A" w:rsidRDefault="0072086A" w:rsidP="0072086A">
            <w:pPr>
              <w:jc w:val="right"/>
              <w:rPr>
                <w:rFonts w:ascii="Times New Roman" w:hAnsi="Times New Roman"/>
                <w:b/>
                <w:bCs/>
                <w:color w:val="FFFFFF"/>
                <w:lang w:val="en-CA" w:eastAsia="zh-CN"/>
              </w:rPr>
            </w:pPr>
            <w:r w:rsidRPr="0072086A">
              <w:rPr>
                <w:rFonts w:ascii="Times New Roman" w:hAnsi="Times New Roman"/>
                <w:b/>
                <w:bCs/>
                <w:color w:val="FFFFFF"/>
                <w:lang w:val="en-CA" w:eastAsia="zh-CN"/>
              </w:rPr>
              <w:t>2016E</w:t>
            </w:r>
          </w:p>
        </w:tc>
        <w:tc>
          <w:tcPr>
            <w:tcW w:w="1023" w:type="dxa"/>
            <w:tcBorders>
              <w:top w:val="single" w:sz="8" w:space="0" w:color="auto"/>
              <w:left w:val="nil"/>
              <w:bottom w:val="nil"/>
              <w:right w:val="nil"/>
            </w:tcBorders>
            <w:shd w:val="clear" w:color="000000" w:fill="002060"/>
            <w:noWrap/>
            <w:vAlign w:val="bottom"/>
            <w:hideMark/>
          </w:tcPr>
          <w:p w14:paraId="57334AB3" w14:textId="74B5019C" w:rsidR="0072086A" w:rsidRPr="0072086A" w:rsidRDefault="0072086A" w:rsidP="0072086A">
            <w:pPr>
              <w:jc w:val="right"/>
              <w:rPr>
                <w:rFonts w:ascii="Times New Roman" w:hAnsi="Times New Roman"/>
                <w:b/>
                <w:bCs/>
                <w:color w:val="FFFFFF"/>
                <w:lang w:val="en-CA" w:eastAsia="zh-CN"/>
              </w:rPr>
            </w:pPr>
            <w:r w:rsidRPr="0072086A">
              <w:rPr>
                <w:rFonts w:ascii="Times New Roman" w:hAnsi="Times New Roman"/>
                <w:b/>
                <w:bCs/>
                <w:color w:val="FFFFFF"/>
                <w:lang w:val="en-CA" w:eastAsia="zh-CN"/>
              </w:rPr>
              <w:t>2017E</w:t>
            </w:r>
          </w:p>
        </w:tc>
        <w:tc>
          <w:tcPr>
            <w:tcW w:w="1023" w:type="dxa"/>
            <w:tcBorders>
              <w:top w:val="single" w:sz="8" w:space="0" w:color="auto"/>
              <w:left w:val="nil"/>
              <w:bottom w:val="nil"/>
              <w:right w:val="nil"/>
            </w:tcBorders>
            <w:shd w:val="clear" w:color="000000" w:fill="002060"/>
            <w:noWrap/>
            <w:vAlign w:val="bottom"/>
            <w:hideMark/>
          </w:tcPr>
          <w:p w14:paraId="65C599A7" w14:textId="5E8902AD" w:rsidR="0072086A" w:rsidRPr="0072086A" w:rsidRDefault="0072086A" w:rsidP="0072086A">
            <w:pPr>
              <w:jc w:val="right"/>
              <w:rPr>
                <w:rFonts w:ascii="Times New Roman" w:hAnsi="Times New Roman"/>
                <w:b/>
                <w:bCs/>
                <w:color w:val="FFFFFF"/>
                <w:lang w:val="en-CA" w:eastAsia="zh-CN"/>
              </w:rPr>
            </w:pPr>
            <w:r w:rsidRPr="0072086A">
              <w:rPr>
                <w:rFonts w:ascii="Times New Roman" w:hAnsi="Times New Roman"/>
                <w:b/>
                <w:bCs/>
                <w:color w:val="FFFFFF"/>
                <w:lang w:val="en-CA" w:eastAsia="zh-CN"/>
              </w:rPr>
              <w:t>2018E</w:t>
            </w:r>
          </w:p>
        </w:tc>
        <w:tc>
          <w:tcPr>
            <w:tcW w:w="1023" w:type="dxa"/>
            <w:tcBorders>
              <w:top w:val="single" w:sz="8" w:space="0" w:color="auto"/>
              <w:left w:val="nil"/>
              <w:bottom w:val="nil"/>
              <w:right w:val="nil"/>
            </w:tcBorders>
            <w:shd w:val="clear" w:color="000000" w:fill="002060"/>
            <w:noWrap/>
            <w:vAlign w:val="bottom"/>
            <w:hideMark/>
          </w:tcPr>
          <w:p w14:paraId="68A499B2" w14:textId="49389EE2" w:rsidR="0072086A" w:rsidRPr="0072086A" w:rsidRDefault="0072086A" w:rsidP="0072086A">
            <w:pPr>
              <w:jc w:val="right"/>
              <w:rPr>
                <w:rFonts w:ascii="Times New Roman" w:hAnsi="Times New Roman"/>
                <w:b/>
                <w:bCs/>
                <w:color w:val="FFFFFF"/>
                <w:lang w:val="en-CA" w:eastAsia="zh-CN"/>
              </w:rPr>
            </w:pPr>
            <w:r w:rsidRPr="0072086A">
              <w:rPr>
                <w:rFonts w:ascii="Times New Roman" w:hAnsi="Times New Roman"/>
                <w:b/>
                <w:bCs/>
                <w:color w:val="FFFFFF"/>
                <w:lang w:val="en-CA" w:eastAsia="zh-CN"/>
              </w:rPr>
              <w:t>2019E</w:t>
            </w:r>
          </w:p>
        </w:tc>
        <w:tc>
          <w:tcPr>
            <w:tcW w:w="1023" w:type="dxa"/>
            <w:tcBorders>
              <w:top w:val="single" w:sz="8" w:space="0" w:color="auto"/>
              <w:left w:val="nil"/>
              <w:bottom w:val="nil"/>
              <w:right w:val="single" w:sz="8" w:space="0" w:color="auto"/>
            </w:tcBorders>
            <w:shd w:val="clear" w:color="000000" w:fill="002060"/>
            <w:noWrap/>
            <w:vAlign w:val="bottom"/>
            <w:hideMark/>
          </w:tcPr>
          <w:p w14:paraId="0DA92F70" w14:textId="1C341D7E" w:rsidR="0072086A" w:rsidRPr="0072086A" w:rsidRDefault="0072086A" w:rsidP="0072086A">
            <w:pPr>
              <w:jc w:val="right"/>
              <w:rPr>
                <w:rFonts w:ascii="Times New Roman" w:hAnsi="Times New Roman"/>
                <w:b/>
                <w:bCs/>
                <w:color w:val="FFFFFF"/>
                <w:lang w:val="en-CA" w:eastAsia="zh-CN"/>
              </w:rPr>
            </w:pPr>
            <w:r w:rsidRPr="0072086A">
              <w:rPr>
                <w:rFonts w:ascii="Times New Roman" w:hAnsi="Times New Roman"/>
                <w:b/>
                <w:bCs/>
                <w:color w:val="FFFFFF"/>
                <w:lang w:val="en-CA" w:eastAsia="zh-CN"/>
              </w:rPr>
              <w:t>2020E</w:t>
            </w:r>
          </w:p>
        </w:tc>
      </w:tr>
      <w:tr w:rsidR="0072086A" w:rsidRPr="0072086A" w14:paraId="63B1183C" w14:textId="77777777" w:rsidTr="005F1FC9">
        <w:trPr>
          <w:trHeight w:val="266"/>
        </w:trPr>
        <w:tc>
          <w:tcPr>
            <w:tcW w:w="2458" w:type="dxa"/>
            <w:tcBorders>
              <w:top w:val="nil"/>
              <w:left w:val="single" w:sz="8" w:space="0" w:color="auto"/>
              <w:bottom w:val="nil"/>
              <w:right w:val="nil"/>
            </w:tcBorders>
            <w:shd w:val="clear" w:color="000000" w:fill="4472C4"/>
            <w:noWrap/>
            <w:vAlign w:val="bottom"/>
            <w:hideMark/>
          </w:tcPr>
          <w:p w14:paraId="08526914" w14:textId="77777777" w:rsidR="0072086A" w:rsidRPr="0072086A" w:rsidRDefault="0072086A" w:rsidP="0072086A">
            <w:pPr>
              <w:rPr>
                <w:rFonts w:ascii="Times New Roman" w:hAnsi="Times New Roman"/>
                <w:b/>
                <w:bCs/>
                <w:color w:val="FFFFFF"/>
                <w:lang w:val="en-CA" w:eastAsia="zh-CN"/>
              </w:rPr>
            </w:pPr>
            <w:r w:rsidRPr="0072086A">
              <w:rPr>
                <w:rFonts w:ascii="Times New Roman" w:hAnsi="Times New Roman"/>
                <w:b/>
                <w:bCs/>
                <w:color w:val="FFFFFF"/>
                <w:lang w:val="en-CA" w:eastAsia="zh-CN"/>
              </w:rPr>
              <w:t>Profitability</w:t>
            </w:r>
          </w:p>
        </w:tc>
        <w:tc>
          <w:tcPr>
            <w:tcW w:w="1023" w:type="dxa"/>
            <w:tcBorders>
              <w:top w:val="nil"/>
              <w:left w:val="nil"/>
              <w:bottom w:val="nil"/>
              <w:right w:val="nil"/>
            </w:tcBorders>
            <w:shd w:val="clear" w:color="000000" w:fill="4472C4"/>
            <w:noWrap/>
            <w:vAlign w:val="bottom"/>
            <w:hideMark/>
          </w:tcPr>
          <w:p w14:paraId="5C95E30E" w14:textId="77777777" w:rsidR="0072086A" w:rsidRPr="0072086A" w:rsidRDefault="0072086A" w:rsidP="0072086A">
            <w:pPr>
              <w:rPr>
                <w:rFonts w:ascii="Times New Roman" w:hAnsi="Times New Roman"/>
                <w:b/>
                <w:bCs/>
                <w:color w:val="FFFFFF"/>
                <w:lang w:val="en-CA" w:eastAsia="zh-CN"/>
              </w:rPr>
            </w:pPr>
            <w:r w:rsidRPr="0072086A">
              <w:rPr>
                <w:rFonts w:ascii="Times New Roman" w:hAnsi="Times New Roman"/>
                <w:b/>
                <w:bCs/>
                <w:color w:val="FFFFFF"/>
                <w:lang w:val="en-CA" w:eastAsia="zh-CN"/>
              </w:rPr>
              <w:t> </w:t>
            </w:r>
          </w:p>
        </w:tc>
        <w:tc>
          <w:tcPr>
            <w:tcW w:w="1023" w:type="dxa"/>
            <w:tcBorders>
              <w:top w:val="nil"/>
              <w:left w:val="nil"/>
              <w:bottom w:val="nil"/>
              <w:right w:val="nil"/>
            </w:tcBorders>
            <w:shd w:val="clear" w:color="000000" w:fill="4472C4"/>
            <w:noWrap/>
            <w:vAlign w:val="bottom"/>
            <w:hideMark/>
          </w:tcPr>
          <w:p w14:paraId="7D34722A"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600CAC8B"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614430ED"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1015EB89"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33F9AEC7"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0CB2D120"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430D8161"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single" w:sz="8" w:space="0" w:color="auto"/>
            </w:tcBorders>
            <w:shd w:val="clear" w:color="000000" w:fill="4472C4"/>
            <w:noWrap/>
            <w:vAlign w:val="bottom"/>
            <w:hideMark/>
          </w:tcPr>
          <w:p w14:paraId="78294E63"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r>
      <w:tr w:rsidR="0072086A" w:rsidRPr="0072086A" w14:paraId="7BAFA0AE"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1BFBA1C5"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EBITDA Margin</w:t>
            </w:r>
          </w:p>
        </w:tc>
        <w:tc>
          <w:tcPr>
            <w:tcW w:w="1023" w:type="dxa"/>
            <w:tcBorders>
              <w:top w:val="nil"/>
              <w:left w:val="nil"/>
              <w:bottom w:val="nil"/>
              <w:right w:val="nil"/>
            </w:tcBorders>
            <w:shd w:val="clear" w:color="000000" w:fill="FFFFFF"/>
            <w:noWrap/>
            <w:vAlign w:val="bottom"/>
            <w:hideMark/>
          </w:tcPr>
          <w:p w14:paraId="1F79D298"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36.0%</w:t>
            </w:r>
          </w:p>
        </w:tc>
        <w:tc>
          <w:tcPr>
            <w:tcW w:w="1023" w:type="dxa"/>
            <w:tcBorders>
              <w:top w:val="nil"/>
              <w:left w:val="nil"/>
              <w:bottom w:val="nil"/>
              <w:right w:val="nil"/>
            </w:tcBorders>
            <w:shd w:val="clear" w:color="000000" w:fill="FFFFFF"/>
            <w:noWrap/>
            <w:vAlign w:val="bottom"/>
            <w:hideMark/>
          </w:tcPr>
          <w:p w14:paraId="1F90C466"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35.9%</w:t>
            </w:r>
          </w:p>
        </w:tc>
        <w:tc>
          <w:tcPr>
            <w:tcW w:w="1023" w:type="dxa"/>
            <w:tcBorders>
              <w:top w:val="nil"/>
              <w:left w:val="nil"/>
              <w:bottom w:val="nil"/>
              <w:right w:val="nil"/>
            </w:tcBorders>
            <w:shd w:val="clear" w:color="000000" w:fill="FFFFFF"/>
            <w:noWrap/>
            <w:vAlign w:val="bottom"/>
            <w:hideMark/>
          </w:tcPr>
          <w:p w14:paraId="0FCB32DB"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36.4%</w:t>
            </w:r>
          </w:p>
        </w:tc>
        <w:tc>
          <w:tcPr>
            <w:tcW w:w="1023" w:type="dxa"/>
            <w:tcBorders>
              <w:top w:val="nil"/>
              <w:left w:val="nil"/>
              <w:bottom w:val="nil"/>
              <w:right w:val="nil"/>
            </w:tcBorders>
            <w:shd w:val="clear" w:color="000000" w:fill="FFFFFF"/>
            <w:noWrap/>
            <w:vAlign w:val="bottom"/>
            <w:hideMark/>
          </w:tcPr>
          <w:p w14:paraId="016ABF13"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35.4%</w:t>
            </w:r>
          </w:p>
        </w:tc>
        <w:tc>
          <w:tcPr>
            <w:tcW w:w="1023" w:type="dxa"/>
            <w:tcBorders>
              <w:top w:val="nil"/>
              <w:left w:val="nil"/>
              <w:bottom w:val="nil"/>
              <w:right w:val="nil"/>
            </w:tcBorders>
            <w:shd w:val="clear" w:color="000000" w:fill="FFFFFF"/>
            <w:noWrap/>
            <w:vAlign w:val="bottom"/>
            <w:hideMark/>
          </w:tcPr>
          <w:p w14:paraId="7730E243"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36.0%</w:t>
            </w:r>
          </w:p>
        </w:tc>
        <w:tc>
          <w:tcPr>
            <w:tcW w:w="1023" w:type="dxa"/>
            <w:tcBorders>
              <w:top w:val="nil"/>
              <w:left w:val="nil"/>
              <w:bottom w:val="nil"/>
              <w:right w:val="nil"/>
            </w:tcBorders>
            <w:shd w:val="clear" w:color="000000" w:fill="FFFFFF"/>
            <w:noWrap/>
            <w:vAlign w:val="bottom"/>
            <w:hideMark/>
          </w:tcPr>
          <w:p w14:paraId="2965248C"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36.0%</w:t>
            </w:r>
          </w:p>
        </w:tc>
        <w:tc>
          <w:tcPr>
            <w:tcW w:w="1023" w:type="dxa"/>
            <w:tcBorders>
              <w:top w:val="nil"/>
              <w:left w:val="nil"/>
              <w:bottom w:val="nil"/>
              <w:right w:val="nil"/>
            </w:tcBorders>
            <w:shd w:val="clear" w:color="000000" w:fill="FFFFFF"/>
            <w:noWrap/>
            <w:vAlign w:val="bottom"/>
            <w:hideMark/>
          </w:tcPr>
          <w:p w14:paraId="2837C5C9"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36.0%</w:t>
            </w:r>
          </w:p>
        </w:tc>
        <w:tc>
          <w:tcPr>
            <w:tcW w:w="1023" w:type="dxa"/>
            <w:tcBorders>
              <w:top w:val="nil"/>
              <w:left w:val="nil"/>
              <w:bottom w:val="nil"/>
              <w:right w:val="nil"/>
            </w:tcBorders>
            <w:shd w:val="clear" w:color="000000" w:fill="FFFFFF"/>
            <w:noWrap/>
            <w:vAlign w:val="bottom"/>
            <w:hideMark/>
          </w:tcPr>
          <w:p w14:paraId="7EAB68F6"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36.0%</w:t>
            </w:r>
          </w:p>
        </w:tc>
        <w:tc>
          <w:tcPr>
            <w:tcW w:w="1023" w:type="dxa"/>
            <w:tcBorders>
              <w:top w:val="nil"/>
              <w:left w:val="nil"/>
              <w:bottom w:val="nil"/>
              <w:right w:val="single" w:sz="8" w:space="0" w:color="auto"/>
            </w:tcBorders>
            <w:shd w:val="clear" w:color="000000" w:fill="FFFFFF"/>
            <w:noWrap/>
            <w:vAlign w:val="bottom"/>
            <w:hideMark/>
          </w:tcPr>
          <w:p w14:paraId="10E6A75F"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36.0%</w:t>
            </w:r>
          </w:p>
        </w:tc>
      </w:tr>
      <w:tr w:rsidR="0072086A" w:rsidRPr="0072086A" w14:paraId="60B6C559"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1BB423C1"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Operating Profit Margin</w:t>
            </w:r>
          </w:p>
        </w:tc>
        <w:tc>
          <w:tcPr>
            <w:tcW w:w="1023" w:type="dxa"/>
            <w:tcBorders>
              <w:top w:val="nil"/>
              <w:left w:val="nil"/>
              <w:bottom w:val="nil"/>
              <w:right w:val="nil"/>
            </w:tcBorders>
            <w:shd w:val="clear" w:color="000000" w:fill="FFFFFF"/>
            <w:noWrap/>
            <w:vAlign w:val="bottom"/>
            <w:hideMark/>
          </w:tcPr>
          <w:p w14:paraId="68CC765B"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19.6%</w:t>
            </w:r>
          </w:p>
        </w:tc>
        <w:tc>
          <w:tcPr>
            <w:tcW w:w="1023" w:type="dxa"/>
            <w:tcBorders>
              <w:top w:val="nil"/>
              <w:left w:val="nil"/>
              <w:bottom w:val="nil"/>
              <w:right w:val="nil"/>
            </w:tcBorders>
            <w:shd w:val="clear" w:color="000000" w:fill="FFFFFF"/>
            <w:noWrap/>
            <w:vAlign w:val="bottom"/>
            <w:hideMark/>
          </w:tcPr>
          <w:p w14:paraId="06E579B2"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19.2%</w:t>
            </w:r>
          </w:p>
        </w:tc>
        <w:tc>
          <w:tcPr>
            <w:tcW w:w="1023" w:type="dxa"/>
            <w:tcBorders>
              <w:top w:val="nil"/>
              <w:left w:val="nil"/>
              <w:bottom w:val="nil"/>
              <w:right w:val="nil"/>
            </w:tcBorders>
            <w:shd w:val="clear" w:color="000000" w:fill="FFFFFF"/>
            <w:noWrap/>
            <w:vAlign w:val="bottom"/>
            <w:hideMark/>
          </w:tcPr>
          <w:p w14:paraId="2C7A6613"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20.2%</w:t>
            </w:r>
          </w:p>
        </w:tc>
        <w:tc>
          <w:tcPr>
            <w:tcW w:w="1023" w:type="dxa"/>
            <w:tcBorders>
              <w:top w:val="nil"/>
              <w:left w:val="nil"/>
              <w:bottom w:val="nil"/>
              <w:right w:val="nil"/>
            </w:tcBorders>
            <w:shd w:val="clear" w:color="000000" w:fill="FFFFFF"/>
            <w:noWrap/>
            <w:vAlign w:val="bottom"/>
            <w:hideMark/>
          </w:tcPr>
          <w:p w14:paraId="6EAABA85"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19.4%</w:t>
            </w:r>
          </w:p>
        </w:tc>
        <w:tc>
          <w:tcPr>
            <w:tcW w:w="1023" w:type="dxa"/>
            <w:tcBorders>
              <w:top w:val="nil"/>
              <w:left w:val="nil"/>
              <w:bottom w:val="nil"/>
              <w:right w:val="nil"/>
            </w:tcBorders>
            <w:shd w:val="clear" w:color="000000" w:fill="FFFFFF"/>
            <w:noWrap/>
            <w:vAlign w:val="bottom"/>
            <w:hideMark/>
          </w:tcPr>
          <w:p w14:paraId="26C2756E"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24.1%</w:t>
            </w:r>
          </w:p>
        </w:tc>
        <w:tc>
          <w:tcPr>
            <w:tcW w:w="1023" w:type="dxa"/>
            <w:tcBorders>
              <w:top w:val="nil"/>
              <w:left w:val="nil"/>
              <w:bottom w:val="nil"/>
              <w:right w:val="nil"/>
            </w:tcBorders>
            <w:shd w:val="clear" w:color="000000" w:fill="FFFFFF"/>
            <w:noWrap/>
            <w:vAlign w:val="bottom"/>
            <w:hideMark/>
          </w:tcPr>
          <w:p w14:paraId="0D1FD335"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24.7%</w:t>
            </w:r>
          </w:p>
        </w:tc>
        <w:tc>
          <w:tcPr>
            <w:tcW w:w="1023" w:type="dxa"/>
            <w:tcBorders>
              <w:top w:val="nil"/>
              <w:left w:val="nil"/>
              <w:bottom w:val="nil"/>
              <w:right w:val="nil"/>
            </w:tcBorders>
            <w:shd w:val="clear" w:color="000000" w:fill="FFFFFF"/>
            <w:noWrap/>
            <w:vAlign w:val="bottom"/>
            <w:hideMark/>
          </w:tcPr>
          <w:p w14:paraId="18F64E5B"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25.2%</w:t>
            </w:r>
          </w:p>
        </w:tc>
        <w:tc>
          <w:tcPr>
            <w:tcW w:w="1023" w:type="dxa"/>
            <w:tcBorders>
              <w:top w:val="nil"/>
              <w:left w:val="nil"/>
              <w:bottom w:val="nil"/>
              <w:right w:val="nil"/>
            </w:tcBorders>
            <w:shd w:val="clear" w:color="000000" w:fill="FFFFFF"/>
            <w:noWrap/>
            <w:vAlign w:val="bottom"/>
            <w:hideMark/>
          </w:tcPr>
          <w:p w14:paraId="3C28B214"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25.7%</w:t>
            </w:r>
          </w:p>
        </w:tc>
        <w:tc>
          <w:tcPr>
            <w:tcW w:w="1023" w:type="dxa"/>
            <w:tcBorders>
              <w:top w:val="nil"/>
              <w:left w:val="nil"/>
              <w:bottom w:val="nil"/>
              <w:right w:val="single" w:sz="8" w:space="0" w:color="auto"/>
            </w:tcBorders>
            <w:shd w:val="clear" w:color="000000" w:fill="FFFFFF"/>
            <w:noWrap/>
            <w:vAlign w:val="bottom"/>
            <w:hideMark/>
          </w:tcPr>
          <w:p w14:paraId="00448BE0"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26.1%</w:t>
            </w:r>
          </w:p>
        </w:tc>
      </w:tr>
      <w:tr w:rsidR="0072086A" w:rsidRPr="0072086A" w14:paraId="490225A3"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5EBDD148"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Net Income Margin</w:t>
            </w:r>
          </w:p>
        </w:tc>
        <w:tc>
          <w:tcPr>
            <w:tcW w:w="1023" w:type="dxa"/>
            <w:tcBorders>
              <w:top w:val="nil"/>
              <w:left w:val="nil"/>
              <w:bottom w:val="nil"/>
              <w:right w:val="nil"/>
            </w:tcBorders>
            <w:shd w:val="clear" w:color="000000" w:fill="FFFFFF"/>
            <w:noWrap/>
            <w:vAlign w:val="bottom"/>
            <w:hideMark/>
          </w:tcPr>
          <w:p w14:paraId="3312993D" w14:textId="4C5CEB11" w:rsidR="0072086A" w:rsidRPr="0072086A" w:rsidRDefault="005F1FC9" w:rsidP="0072086A">
            <w:pPr>
              <w:jc w:val="right"/>
              <w:rPr>
                <w:rFonts w:ascii="Times New Roman" w:hAnsi="Times New Roman"/>
                <w:color w:val="000000"/>
                <w:lang w:val="en-CA" w:eastAsia="zh-CN"/>
              </w:rPr>
            </w:pPr>
            <w:r>
              <w:rPr>
                <w:rFonts w:ascii="Times New Roman" w:hAnsi="Times New Roman"/>
                <w:color w:val="000000"/>
                <w:lang w:val="en-CA" w:eastAsia="zh-CN"/>
              </w:rPr>
              <w:t>9.1</w:t>
            </w:r>
            <w:r w:rsidR="0072086A" w:rsidRPr="0072086A">
              <w:rPr>
                <w:rFonts w:ascii="Times New Roman" w:hAnsi="Times New Roman"/>
                <w:color w:val="000000"/>
                <w:lang w:val="en-CA" w:eastAsia="zh-CN"/>
              </w:rPr>
              <w:t>%</w:t>
            </w:r>
          </w:p>
        </w:tc>
        <w:tc>
          <w:tcPr>
            <w:tcW w:w="1023" w:type="dxa"/>
            <w:tcBorders>
              <w:top w:val="nil"/>
              <w:left w:val="nil"/>
              <w:bottom w:val="nil"/>
              <w:right w:val="nil"/>
            </w:tcBorders>
            <w:shd w:val="clear" w:color="000000" w:fill="FFFFFF"/>
            <w:noWrap/>
            <w:vAlign w:val="bottom"/>
            <w:hideMark/>
          </w:tcPr>
          <w:p w14:paraId="6B8D8A15" w14:textId="1CA1979A" w:rsidR="0072086A" w:rsidRPr="0072086A" w:rsidRDefault="005F1FC9" w:rsidP="0072086A">
            <w:pPr>
              <w:jc w:val="right"/>
              <w:rPr>
                <w:rFonts w:ascii="Times New Roman" w:hAnsi="Times New Roman"/>
                <w:color w:val="000000"/>
                <w:lang w:val="en-CA" w:eastAsia="zh-CN"/>
              </w:rPr>
            </w:pPr>
            <w:r>
              <w:rPr>
                <w:rFonts w:ascii="Times New Roman" w:hAnsi="Times New Roman"/>
                <w:color w:val="000000"/>
                <w:lang w:val="en-CA" w:eastAsia="zh-CN"/>
              </w:rPr>
              <w:t>8.5</w:t>
            </w:r>
            <w:r w:rsidR="0072086A" w:rsidRPr="0072086A">
              <w:rPr>
                <w:rFonts w:ascii="Times New Roman" w:hAnsi="Times New Roman"/>
                <w:color w:val="000000"/>
                <w:lang w:val="en-CA" w:eastAsia="zh-CN"/>
              </w:rPr>
              <w:t>%</w:t>
            </w:r>
          </w:p>
        </w:tc>
        <w:tc>
          <w:tcPr>
            <w:tcW w:w="1023" w:type="dxa"/>
            <w:tcBorders>
              <w:top w:val="nil"/>
              <w:left w:val="nil"/>
              <w:bottom w:val="nil"/>
              <w:right w:val="nil"/>
            </w:tcBorders>
            <w:shd w:val="clear" w:color="000000" w:fill="FFFFFF"/>
            <w:noWrap/>
            <w:vAlign w:val="bottom"/>
            <w:hideMark/>
          </w:tcPr>
          <w:p w14:paraId="2FF72810" w14:textId="38512BC7" w:rsidR="0072086A" w:rsidRPr="0072086A" w:rsidRDefault="005F1FC9" w:rsidP="0072086A">
            <w:pPr>
              <w:jc w:val="right"/>
              <w:rPr>
                <w:rFonts w:ascii="Times New Roman" w:hAnsi="Times New Roman"/>
                <w:color w:val="000000"/>
                <w:lang w:val="en-CA" w:eastAsia="zh-CN"/>
              </w:rPr>
            </w:pPr>
            <w:r>
              <w:rPr>
                <w:rFonts w:ascii="Times New Roman" w:hAnsi="Times New Roman"/>
                <w:color w:val="000000"/>
                <w:lang w:val="en-CA" w:eastAsia="zh-CN"/>
              </w:rPr>
              <w:t>9.3</w:t>
            </w:r>
            <w:r w:rsidR="0072086A" w:rsidRPr="0072086A">
              <w:rPr>
                <w:rFonts w:ascii="Times New Roman" w:hAnsi="Times New Roman"/>
                <w:color w:val="000000"/>
                <w:lang w:val="en-CA" w:eastAsia="zh-CN"/>
              </w:rPr>
              <w:t>%</w:t>
            </w:r>
          </w:p>
        </w:tc>
        <w:tc>
          <w:tcPr>
            <w:tcW w:w="1023" w:type="dxa"/>
            <w:tcBorders>
              <w:top w:val="nil"/>
              <w:left w:val="nil"/>
              <w:bottom w:val="nil"/>
              <w:right w:val="nil"/>
            </w:tcBorders>
            <w:shd w:val="clear" w:color="000000" w:fill="FFFFFF"/>
            <w:noWrap/>
            <w:vAlign w:val="bottom"/>
            <w:hideMark/>
          </w:tcPr>
          <w:p w14:paraId="37C8BEF6" w14:textId="05414F4F" w:rsidR="0072086A" w:rsidRPr="0072086A" w:rsidRDefault="005F1FC9" w:rsidP="0072086A">
            <w:pPr>
              <w:jc w:val="right"/>
              <w:rPr>
                <w:rFonts w:ascii="Times New Roman" w:hAnsi="Times New Roman"/>
                <w:color w:val="000000"/>
                <w:lang w:val="en-CA" w:eastAsia="zh-CN"/>
              </w:rPr>
            </w:pPr>
            <w:r>
              <w:rPr>
                <w:rFonts w:ascii="Times New Roman" w:hAnsi="Times New Roman"/>
                <w:color w:val="000000"/>
                <w:lang w:val="en-CA" w:eastAsia="zh-CN"/>
              </w:rPr>
              <w:t>11.2</w:t>
            </w:r>
            <w:r w:rsidR="0072086A" w:rsidRPr="0072086A">
              <w:rPr>
                <w:rFonts w:ascii="Times New Roman" w:hAnsi="Times New Roman"/>
                <w:color w:val="000000"/>
                <w:lang w:val="en-CA" w:eastAsia="zh-CN"/>
              </w:rPr>
              <w:t>%</w:t>
            </w:r>
          </w:p>
        </w:tc>
        <w:tc>
          <w:tcPr>
            <w:tcW w:w="1023" w:type="dxa"/>
            <w:tcBorders>
              <w:top w:val="nil"/>
              <w:left w:val="nil"/>
              <w:bottom w:val="nil"/>
              <w:right w:val="nil"/>
            </w:tcBorders>
            <w:shd w:val="clear" w:color="000000" w:fill="FFFFFF"/>
            <w:noWrap/>
            <w:vAlign w:val="bottom"/>
            <w:hideMark/>
          </w:tcPr>
          <w:p w14:paraId="2B52B258" w14:textId="5ED7873E" w:rsidR="0072086A" w:rsidRPr="0072086A" w:rsidRDefault="005F1FC9" w:rsidP="0072086A">
            <w:pPr>
              <w:jc w:val="right"/>
              <w:rPr>
                <w:rFonts w:ascii="Times New Roman" w:hAnsi="Times New Roman"/>
                <w:color w:val="000000"/>
                <w:lang w:val="en-CA" w:eastAsia="zh-CN"/>
              </w:rPr>
            </w:pPr>
            <w:r>
              <w:rPr>
                <w:rFonts w:ascii="Times New Roman" w:hAnsi="Times New Roman"/>
                <w:color w:val="000000"/>
                <w:lang w:val="en-CA" w:eastAsia="zh-CN"/>
              </w:rPr>
              <w:t>17.2</w:t>
            </w:r>
            <w:r w:rsidR="0072086A" w:rsidRPr="0072086A">
              <w:rPr>
                <w:rFonts w:ascii="Times New Roman" w:hAnsi="Times New Roman"/>
                <w:color w:val="000000"/>
                <w:lang w:val="en-CA" w:eastAsia="zh-CN"/>
              </w:rPr>
              <w:t>%</w:t>
            </w:r>
          </w:p>
        </w:tc>
        <w:tc>
          <w:tcPr>
            <w:tcW w:w="1023" w:type="dxa"/>
            <w:tcBorders>
              <w:top w:val="nil"/>
              <w:left w:val="nil"/>
              <w:bottom w:val="nil"/>
              <w:right w:val="nil"/>
            </w:tcBorders>
            <w:shd w:val="clear" w:color="000000" w:fill="FFFFFF"/>
            <w:noWrap/>
            <w:vAlign w:val="bottom"/>
            <w:hideMark/>
          </w:tcPr>
          <w:p w14:paraId="1E909EAE" w14:textId="1015C78F" w:rsidR="0072086A" w:rsidRPr="0072086A" w:rsidRDefault="005F1FC9" w:rsidP="0072086A">
            <w:pPr>
              <w:jc w:val="right"/>
              <w:rPr>
                <w:rFonts w:ascii="Times New Roman" w:hAnsi="Times New Roman"/>
                <w:color w:val="000000"/>
                <w:lang w:val="en-CA" w:eastAsia="zh-CN"/>
              </w:rPr>
            </w:pPr>
            <w:r>
              <w:rPr>
                <w:rFonts w:ascii="Times New Roman" w:hAnsi="Times New Roman"/>
                <w:color w:val="000000"/>
                <w:lang w:val="en-CA" w:eastAsia="zh-CN"/>
              </w:rPr>
              <w:t>18.0</w:t>
            </w:r>
            <w:r w:rsidR="0072086A" w:rsidRPr="0072086A">
              <w:rPr>
                <w:rFonts w:ascii="Times New Roman" w:hAnsi="Times New Roman"/>
                <w:color w:val="000000"/>
                <w:lang w:val="en-CA" w:eastAsia="zh-CN"/>
              </w:rPr>
              <w:t>%</w:t>
            </w:r>
          </w:p>
        </w:tc>
        <w:tc>
          <w:tcPr>
            <w:tcW w:w="1023" w:type="dxa"/>
            <w:tcBorders>
              <w:top w:val="nil"/>
              <w:left w:val="nil"/>
              <w:bottom w:val="nil"/>
              <w:right w:val="nil"/>
            </w:tcBorders>
            <w:shd w:val="clear" w:color="000000" w:fill="FFFFFF"/>
            <w:noWrap/>
            <w:vAlign w:val="bottom"/>
            <w:hideMark/>
          </w:tcPr>
          <w:p w14:paraId="2D244258" w14:textId="37280F5B" w:rsidR="0072086A" w:rsidRPr="0072086A" w:rsidRDefault="005F1FC9" w:rsidP="0072086A">
            <w:pPr>
              <w:jc w:val="right"/>
              <w:rPr>
                <w:rFonts w:ascii="Times New Roman" w:hAnsi="Times New Roman"/>
                <w:color w:val="000000"/>
                <w:lang w:val="en-CA" w:eastAsia="zh-CN"/>
              </w:rPr>
            </w:pPr>
            <w:r>
              <w:rPr>
                <w:rFonts w:ascii="Times New Roman" w:hAnsi="Times New Roman"/>
                <w:color w:val="000000"/>
                <w:lang w:val="en-CA" w:eastAsia="zh-CN"/>
              </w:rPr>
              <w:t>18.6</w:t>
            </w:r>
            <w:r w:rsidR="0072086A" w:rsidRPr="0072086A">
              <w:rPr>
                <w:rFonts w:ascii="Times New Roman" w:hAnsi="Times New Roman"/>
                <w:color w:val="000000"/>
                <w:lang w:val="en-CA" w:eastAsia="zh-CN"/>
              </w:rPr>
              <w:t>%</w:t>
            </w:r>
          </w:p>
        </w:tc>
        <w:tc>
          <w:tcPr>
            <w:tcW w:w="1023" w:type="dxa"/>
            <w:tcBorders>
              <w:top w:val="nil"/>
              <w:left w:val="nil"/>
              <w:bottom w:val="nil"/>
              <w:right w:val="nil"/>
            </w:tcBorders>
            <w:shd w:val="clear" w:color="000000" w:fill="FFFFFF"/>
            <w:noWrap/>
            <w:vAlign w:val="bottom"/>
            <w:hideMark/>
          </w:tcPr>
          <w:p w14:paraId="6311E83B" w14:textId="718CC0F4" w:rsidR="0072086A" w:rsidRPr="0072086A" w:rsidRDefault="005F1FC9" w:rsidP="0072086A">
            <w:pPr>
              <w:jc w:val="right"/>
              <w:rPr>
                <w:rFonts w:ascii="Times New Roman" w:hAnsi="Times New Roman"/>
                <w:color w:val="000000"/>
                <w:lang w:val="en-CA" w:eastAsia="zh-CN"/>
              </w:rPr>
            </w:pPr>
            <w:r>
              <w:rPr>
                <w:rFonts w:ascii="Times New Roman" w:hAnsi="Times New Roman"/>
                <w:color w:val="000000"/>
                <w:lang w:val="en-CA" w:eastAsia="zh-CN"/>
              </w:rPr>
              <w:t>19</w:t>
            </w:r>
            <w:r w:rsidR="0072086A" w:rsidRPr="0072086A">
              <w:rPr>
                <w:rFonts w:ascii="Times New Roman" w:hAnsi="Times New Roman"/>
                <w:color w:val="000000"/>
                <w:lang w:val="en-CA" w:eastAsia="zh-CN"/>
              </w:rPr>
              <w:t>.1%</w:t>
            </w:r>
          </w:p>
        </w:tc>
        <w:tc>
          <w:tcPr>
            <w:tcW w:w="1023" w:type="dxa"/>
            <w:tcBorders>
              <w:top w:val="nil"/>
              <w:left w:val="nil"/>
              <w:bottom w:val="nil"/>
              <w:right w:val="single" w:sz="8" w:space="0" w:color="auto"/>
            </w:tcBorders>
            <w:shd w:val="clear" w:color="000000" w:fill="FFFFFF"/>
            <w:noWrap/>
            <w:vAlign w:val="bottom"/>
            <w:hideMark/>
          </w:tcPr>
          <w:p w14:paraId="41071D77" w14:textId="09DC2566" w:rsidR="0072086A" w:rsidRPr="0072086A" w:rsidRDefault="005F1FC9" w:rsidP="0072086A">
            <w:pPr>
              <w:jc w:val="right"/>
              <w:rPr>
                <w:rFonts w:ascii="Times New Roman" w:hAnsi="Times New Roman"/>
                <w:color w:val="000000"/>
                <w:lang w:val="en-CA" w:eastAsia="zh-CN"/>
              </w:rPr>
            </w:pPr>
            <w:r>
              <w:rPr>
                <w:rFonts w:ascii="Times New Roman" w:hAnsi="Times New Roman"/>
                <w:color w:val="000000"/>
                <w:lang w:val="en-CA" w:eastAsia="zh-CN"/>
              </w:rPr>
              <w:t>19.5</w:t>
            </w:r>
            <w:r w:rsidR="0072086A" w:rsidRPr="0072086A">
              <w:rPr>
                <w:rFonts w:ascii="Times New Roman" w:hAnsi="Times New Roman"/>
                <w:color w:val="000000"/>
                <w:lang w:val="en-CA" w:eastAsia="zh-CN"/>
              </w:rPr>
              <w:t>%</w:t>
            </w:r>
          </w:p>
        </w:tc>
      </w:tr>
      <w:tr w:rsidR="0072086A" w:rsidRPr="0072086A" w14:paraId="5FD2A89B"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726ABC06"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Return on Assets</w:t>
            </w:r>
          </w:p>
        </w:tc>
        <w:tc>
          <w:tcPr>
            <w:tcW w:w="1023" w:type="dxa"/>
            <w:tcBorders>
              <w:top w:val="nil"/>
              <w:left w:val="nil"/>
              <w:bottom w:val="nil"/>
              <w:right w:val="nil"/>
            </w:tcBorders>
            <w:shd w:val="clear" w:color="000000" w:fill="FFFFFF"/>
            <w:noWrap/>
            <w:vAlign w:val="bottom"/>
            <w:hideMark/>
          </w:tcPr>
          <w:p w14:paraId="03BC1BE8"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1.8%</w:t>
            </w:r>
          </w:p>
        </w:tc>
        <w:tc>
          <w:tcPr>
            <w:tcW w:w="1023" w:type="dxa"/>
            <w:tcBorders>
              <w:top w:val="nil"/>
              <w:left w:val="nil"/>
              <w:bottom w:val="nil"/>
              <w:right w:val="nil"/>
            </w:tcBorders>
            <w:shd w:val="clear" w:color="000000" w:fill="FFFFFF"/>
            <w:noWrap/>
            <w:vAlign w:val="bottom"/>
            <w:hideMark/>
          </w:tcPr>
          <w:p w14:paraId="62875225"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1.7%</w:t>
            </w:r>
          </w:p>
        </w:tc>
        <w:tc>
          <w:tcPr>
            <w:tcW w:w="1023" w:type="dxa"/>
            <w:tcBorders>
              <w:top w:val="nil"/>
              <w:left w:val="nil"/>
              <w:bottom w:val="nil"/>
              <w:right w:val="nil"/>
            </w:tcBorders>
            <w:shd w:val="clear" w:color="000000" w:fill="FFFFFF"/>
            <w:noWrap/>
            <w:vAlign w:val="bottom"/>
            <w:hideMark/>
          </w:tcPr>
          <w:p w14:paraId="7C673E7D"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2.2%</w:t>
            </w:r>
          </w:p>
        </w:tc>
        <w:tc>
          <w:tcPr>
            <w:tcW w:w="1023" w:type="dxa"/>
            <w:tcBorders>
              <w:top w:val="nil"/>
              <w:left w:val="nil"/>
              <w:bottom w:val="nil"/>
              <w:right w:val="nil"/>
            </w:tcBorders>
            <w:shd w:val="clear" w:color="000000" w:fill="FFFFFF"/>
            <w:noWrap/>
            <w:vAlign w:val="bottom"/>
            <w:hideMark/>
          </w:tcPr>
          <w:p w14:paraId="1FD53494"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2.6%</w:t>
            </w:r>
          </w:p>
        </w:tc>
        <w:tc>
          <w:tcPr>
            <w:tcW w:w="1023" w:type="dxa"/>
            <w:tcBorders>
              <w:top w:val="nil"/>
              <w:left w:val="nil"/>
              <w:bottom w:val="nil"/>
              <w:right w:val="nil"/>
            </w:tcBorders>
            <w:shd w:val="clear" w:color="000000" w:fill="FFFFFF"/>
            <w:noWrap/>
            <w:vAlign w:val="bottom"/>
            <w:hideMark/>
          </w:tcPr>
          <w:p w14:paraId="514ECC49"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3.6%</w:t>
            </w:r>
          </w:p>
        </w:tc>
        <w:tc>
          <w:tcPr>
            <w:tcW w:w="1023" w:type="dxa"/>
            <w:tcBorders>
              <w:top w:val="nil"/>
              <w:left w:val="nil"/>
              <w:bottom w:val="nil"/>
              <w:right w:val="nil"/>
            </w:tcBorders>
            <w:shd w:val="clear" w:color="000000" w:fill="FFFFFF"/>
            <w:noWrap/>
            <w:vAlign w:val="bottom"/>
            <w:hideMark/>
          </w:tcPr>
          <w:p w14:paraId="56FFE10A"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3.9%</w:t>
            </w:r>
          </w:p>
        </w:tc>
        <w:tc>
          <w:tcPr>
            <w:tcW w:w="1023" w:type="dxa"/>
            <w:tcBorders>
              <w:top w:val="nil"/>
              <w:left w:val="nil"/>
              <w:bottom w:val="nil"/>
              <w:right w:val="nil"/>
            </w:tcBorders>
            <w:shd w:val="clear" w:color="000000" w:fill="FFFFFF"/>
            <w:noWrap/>
            <w:vAlign w:val="bottom"/>
            <w:hideMark/>
          </w:tcPr>
          <w:p w14:paraId="31691247"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4.2%</w:t>
            </w:r>
          </w:p>
        </w:tc>
        <w:tc>
          <w:tcPr>
            <w:tcW w:w="1023" w:type="dxa"/>
            <w:tcBorders>
              <w:top w:val="nil"/>
              <w:left w:val="nil"/>
              <w:bottom w:val="nil"/>
              <w:right w:val="nil"/>
            </w:tcBorders>
            <w:shd w:val="clear" w:color="000000" w:fill="FFFFFF"/>
            <w:noWrap/>
            <w:vAlign w:val="bottom"/>
            <w:hideMark/>
          </w:tcPr>
          <w:p w14:paraId="26EEF8DF"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4.4%</w:t>
            </w:r>
          </w:p>
        </w:tc>
        <w:tc>
          <w:tcPr>
            <w:tcW w:w="1023" w:type="dxa"/>
            <w:tcBorders>
              <w:top w:val="nil"/>
              <w:left w:val="nil"/>
              <w:bottom w:val="nil"/>
              <w:right w:val="single" w:sz="8" w:space="0" w:color="auto"/>
            </w:tcBorders>
            <w:shd w:val="clear" w:color="000000" w:fill="FFFFFF"/>
            <w:noWrap/>
            <w:vAlign w:val="bottom"/>
            <w:hideMark/>
          </w:tcPr>
          <w:p w14:paraId="38CE5D00"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4.6%</w:t>
            </w:r>
          </w:p>
        </w:tc>
      </w:tr>
      <w:tr w:rsidR="0072086A" w:rsidRPr="0072086A" w14:paraId="6E0743C6"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2F9B39D2"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Return on Equity</w:t>
            </w:r>
          </w:p>
        </w:tc>
        <w:tc>
          <w:tcPr>
            <w:tcW w:w="1023" w:type="dxa"/>
            <w:tcBorders>
              <w:top w:val="nil"/>
              <w:left w:val="nil"/>
              <w:bottom w:val="nil"/>
              <w:right w:val="nil"/>
            </w:tcBorders>
            <w:shd w:val="clear" w:color="000000" w:fill="FFFFFF"/>
            <w:noWrap/>
            <w:vAlign w:val="bottom"/>
            <w:hideMark/>
          </w:tcPr>
          <w:p w14:paraId="7105FC43"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3.3%</w:t>
            </w:r>
          </w:p>
        </w:tc>
        <w:tc>
          <w:tcPr>
            <w:tcW w:w="1023" w:type="dxa"/>
            <w:tcBorders>
              <w:top w:val="nil"/>
              <w:left w:val="nil"/>
              <w:bottom w:val="nil"/>
              <w:right w:val="nil"/>
            </w:tcBorders>
            <w:shd w:val="clear" w:color="000000" w:fill="FFFFFF"/>
            <w:noWrap/>
            <w:vAlign w:val="bottom"/>
            <w:hideMark/>
          </w:tcPr>
          <w:p w14:paraId="0DAB816A"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3.2%</w:t>
            </w:r>
          </w:p>
        </w:tc>
        <w:tc>
          <w:tcPr>
            <w:tcW w:w="1023" w:type="dxa"/>
            <w:tcBorders>
              <w:top w:val="nil"/>
              <w:left w:val="nil"/>
              <w:bottom w:val="nil"/>
              <w:right w:val="nil"/>
            </w:tcBorders>
            <w:shd w:val="clear" w:color="000000" w:fill="FFFFFF"/>
            <w:noWrap/>
            <w:vAlign w:val="bottom"/>
            <w:hideMark/>
          </w:tcPr>
          <w:p w14:paraId="079088B7"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4.2%</w:t>
            </w:r>
          </w:p>
        </w:tc>
        <w:tc>
          <w:tcPr>
            <w:tcW w:w="1023" w:type="dxa"/>
            <w:tcBorders>
              <w:top w:val="nil"/>
              <w:left w:val="nil"/>
              <w:bottom w:val="nil"/>
              <w:right w:val="nil"/>
            </w:tcBorders>
            <w:shd w:val="clear" w:color="000000" w:fill="FFFFFF"/>
            <w:noWrap/>
            <w:vAlign w:val="bottom"/>
            <w:hideMark/>
          </w:tcPr>
          <w:p w14:paraId="4ED999B7"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5.1%</w:t>
            </w:r>
          </w:p>
        </w:tc>
        <w:tc>
          <w:tcPr>
            <w:tcW w:w="1023" w:type="dxa"/>
            <w:tcBorders>
              <w:top w:val="nil"/>
              <w:left w:val="nil"/>
              <w:bottom w:val="nil"/>
              <w:right w:val="nil"/>
            </w:tcBorders>
            <w:shd w:val="clear" w:color="000000" w:fill="FFFFFF"/>
            <w:noWrap/>
            <w:vAlign w:val="bottom"/>
            <w:hideMark/>
          </w:tcPr>
          <w:p w14:paraId="0CEAD507"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7.3%</w:t>
            </w:r>
          </w:p>
        </w:tc>
        <w:tc>
          <w:tcPr>
            <w:tcW w:w="1023" w:type="dxa"/>
            <w:tcBorders>
              <w:top w:val="nil"/>
              <w:left w:val="nil"/>
              <w:bottom w:val="nil"/>
              <w:right w:val="nil"/>
            </w:tcBorders>
            <w:shd w:val="clear" w:color="000000" w:fill="FFFFFF"/>
            <w:noWrap/>
            <w:vAlign w:val="bottom"/>
            <w:hideMark/>
          </w:tcPr>
          <w:p w14:paraId="27FB3553"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8.0%</w:t>
            </w:r>
          </w:p>
        </w:tc>
        <w:tc>
          <w:tcPr>
            <w:tcW w:w="1023" w:type="dxa"/>
            <w:tcBorders>
              <w:top w:val="nil"/>
              <w:left w:val="nil"/>
              <w:bottom w:val="nil"/>
              <w:right w:val="nil"/>
            </w:tcBorders>
            <w:shd w:val="clear" w:color="000000" w:fill="FFFFFF"/>
            <w:noWrap/>
            <w:vAlign w:val="bottom"/>
            <w:hideMark/>
          </w:tcPr>
          <w:p w14:paraId="6B398B70"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8.6%</w:t>
            </w:r>
          </w:p>
        </w:tc>
        <w:tc>
          <w:tcPr>
            <w:tcW w:w="1023" w:type="dxa"/>
            <w:tcBorders>
              <w:top w:val="nil"/>
              <w:left w:val="nil"/>
              <w:bottom w:val="nil"/>
              <w:right w:val="nil"/>
            </w:tcBorders>
            <w:shd w:val="clear" w:color="000000" w:fill="FFFFFF"/>
            <w:noWrap/>
            <w:vAlign w:val="bottom"/>
            <w:hideMark/>
          </w:tcPr>
          <w:p w14:paraId="19A7432C"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9.1%</w:t>
            </w:r>
          </w:p>
        </w:tc>
        <w:tc>
          <w:tcPr>
            <w:tcW w:w="1023" w:type="dxa"/>
            <w:tcBorders>
              <w:top w:val="nil"/>
              <w:left w:val="nil"/>
              <w:bottom w:val="nil"/>
              <w:right w:val="single" w:sz="8" w:space="0" w:color="auto"/>
            </w:tcBorders>
            <w:shd w:val="clear" w:color="000000" w:fill="FFFFFF"/>
            <w:noWrap/>
            <w:vAlign w:val="bottom"/>
            <w:hideMark/>
          </w:tcPr>
          <w:p w14:paraId="40C8AFA6"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9.5%</w:t>
            </w:r>
          </w:p>
        </w:tc>
      </w:tr>
      <w:tr w:rsidR="0072086A" w:rsidRPr="0072086A" w14:paraId="29D64098" w14:textId="77777777" w:rsidTr="005F1FC9">
        <w:trPr>
          <w:trHeight w:val="266"/>
        </w:trPr>
        <w:tc>
          <w:tcPr>
            <w:tcW w:w="2458" w:type="dxa"/>
            <w:tcBorders>
              <w:top w:val="nil"/>
              <w:left w:val="single" w:sz="8" w:space="0" w:color="auto"/>
              <w:bottom w:val="nil"/>
              <w:right w:val="nil"/>
            </w:tcBorders>
            <w:shd w:val="clear" w:color="000000" w:fill="4472C4"/>
            <w:noWrap/>
            <w:vAlign w:val="bottom"/>
            <w:hideMark/>
          </w:tcPr>
          <w:p w14:paraId="27C00648" w14:textId="77777777" w:rsidR="0072086A" w:rsidRPr="0072086A" w:rsidRDefault="0072086A" w:rsidP="0072086A">
            <w:pPr>
              <w:rPr>
                <w:rFonts w:ascii="Times New Roman" w:hAnsi="Times New Roman"/>
                <w:b/>
                <w:bCs/>
                <w:color w:val="FFFFFF"/>
                <w:lang w:val="en-CA" w:eastAsia="zh-CN"/>
              </w:rPr>
            </w:pPr>
            <w:r w:rsidRPr="0072086A">
              <w:rPr>
                <w:rFonts w:ascii="Times New Roman" w:hAnsi="Times New Roman"/>
                <w:b/>
                <w:bCs/>
                <w:color w:val="FFFFFF"/>
                <w:lang w:val="en-CA" w:eastAsia="zh-CN"/>
              </w:rPr>
              <w:t>Liquidity</w:t>
            </w:r>
          </w:p>
        </w:tc>
        <w:tc>
          <w:tcPr>
            <w:tcW w:w="1023" w:type="dxa"/>
            <w:tcBorders>
              <w:top w:val="nil"/>
              <w:left w:val="nil"/>
              <w:bottom w:val="nil"/>
              <w:right w:val="nil"/>
            </w:tcBorders>
            <w:shd w:val="clear" w:color="000000" w:fill="4472C4"/>
            <w:noWrap/>
            <w:vAlign w:val="bottom"/>
            <w:hideMark/>
          </w:tcPr>
          <w:p w14:paraId="0CBDBBAC" w14:textId="77777777" w:rsidR="0072086A" w:rsidRPr="0072086A" w:rsidRDefault="0072086A" w:rsidP="0072086A">
            <w:pPr>
              <w:rPr>
                <w:rFonts w:ascii="Times New Roman" w:hAnsi="Times New Roman"/>
                <w:b/>
                <w:bCs/>
                <w:color w:val="FFFFFF"/>
                <w:lang w:val="en-CA" w:eastAsia="zh-CN"/>
              </w:rPr>
            </w:pPr>
            <w:r w:rsidRPr="0072086A">
              <w:rPr>
                <w:rFonts w:ascii="Times New Roman" w:hAnsi="Times New Roman"/>
                <w:b/>
                <w:bCs/>
                <w:color w:val="FFFFFF"/>
                <w:lang w:val="en-CA" w:eastAsia="zh-CN"/>
              </w:rPr>
              <w:t> </w:t>
            </w:r>
          </w:p>
        </w:tc>
        <w:tc>
          <w:tcPr>
            <w:tcW w:w="1023" w:type="dxa"/>
            <w:tcBorders>
              <w:top w:val="nil"/>
              <w:left w:val="nil"/>
              <w:bottom w:val="nil"/>
              <w:right w:val="nil"/>
            </w:tcBorders>
            <w:shd w:val="clear" w:color="000000" w:fill="4472C4"/>
            <w:noWrap/>
            <w:vAlign w:val="bottom"/>
            <w:hideMark/>
          </w:tcPr>
          <w:p w14:paraId="65D55BD8"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45316DAC"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14493129"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56EFA4EB"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4296BFF6"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2C4F0C1F"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6F90CD3D"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single" w:sz="8" w:space="0" w:color="auto"/>
            </w:tcBorders>
            <w:shd w:val="clear" w:color="000000" w:fill="4472C4"/>
            <w:noWrap/>
            <w:vAlign w:val="bottom"/>
            <w:hideMark/>
          </w:tcPr>
          <w:p w14:paraId="211E7E0B"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r>
      <w:tr w:rsidR="0072086A" w:rsidRPr="0072086A" w14:paraId="239ECF3B"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1B78BD78"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Current Ratio</w:t>
            </w:r>
          </w:p>
        </w:tc>
        <w:tc>
          <w:tcPr>
            <w:tcW w:w="1023" w:type="dxa"/>
            <w:tcBorders>
              <w:top w:val="nil"/>
              <w:left w:val="nil"/>
              <w:bottom w:val="nil"/>
              <w:right w:val="nil"/>
            </w:tcBorders>
            <w:shd w:val="clear" w:color="000000" w:fill="FFFFFF"/>
            <w:noWrap/>
            <w:vAlign w:val="bottom"/>
            <w:hideMark/>
          </w:tcPr>
          <w:p w14:paraId="02096B8E"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134.9%</w:t>
            </w:r>
          </w:p>
        </w:tc>
        <w:tc>
          <w:tcPr>
            <w:tcW w:w="1023" w:type="dxa"/>
            <w:tcBorders>
              <w:top w:val="nil"/>
              <w:left w:val="nil"/>
              <w:bottom w:val="nil"/>
              <w:right w:val="nil"/>
            </w:tcBorders>
            <w:shd w:val="clear" w:color="000000" w:fill="FFFFFF"/>
            <w:noWrap/>
            <w:vAlign w:val="bottom"/>
            <w:hideMark/>
          </w:tcPr>
          <w:p w14:paraId="3E6FDA96"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122.8%</w:t>
            </w:r>
          </w:p>
        </w:tc>
        <w:tc>
          <w:tcPr>
            <w:tcW w:w="1023" w:type="dxa"/>
            <w:tcBorders>
              <w:top w:val="nil"/>
              <w:left w:val="nil"/>
              <w:bottom w:val="nil"/>
              <w:right w:val="nil"/>
            </w:tcBorders>
            <w:shd w:val="clear" w:color="000000" w:fill="FFFFFF"/>
            <w:noWrap/>
            <w:vAlign w:val="bottom"/>
            <w:hideMark/>
          </w:tcPr>
          <w:p w14:paraId="64218894"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61.6%</w:t>
            </w:r>
          </w:p>
        </w:tc>
        <w:tc>
          <w:tcPr>
            <w:tcW w:w="1023" w:type="dxa"/>
            <w:tcBorders>
              <w:top w:val="nil"/>
              <w:left w:val="nil"/>
              <w:bottom w:val="nil"/>
              <w:right w:val="nil"/>
            </w:tcBorders>
            <w:shd w:val="clear" w:color="000000" w:fill="FFFFFF"/>
            <w:noWrap/>
            <w:vAlign w:val="bottom"/>
            <w:hideMark/>
          </w:tcPr>
          <w:p w14:paraId="75818FAC"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62.7%</w:t>
            </w:r>
          </w:p>
        </w:tc>
        <w:tc>
          <w:tcPr>
            <w:tcW w:w="1023" w:type="dxa"/>
            <w:tcBorders>
              <w:top w:val="nil"/>
              <w:left w:val="nil"/>
              <w:bottom w:val="nil"/>
              <w:right w:val="nil"/>
            </w:tcBorders>
            <w:shd w:val="clear" w:color="000000" w:fill="FFFFFF"/>
            <w:noWrap/>
            <w:vAlign w:val="bottom"/>
            <w:hideMark/>
          </w:tcPr>
          <w:p w14:paraId="0671A7A2"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68.5%</w:t>
            </w:r>
          </w:p>
        </w:tc>
        <w:tc>
          <w:tcPr>
            <w:tcW w:w="1023" w:type="dxa"/>
            <w:tcBorders>
              <w:top w:val="nil"/>
              <w:left w:val="nil"/>
              <w:bottom w:val="nil"/>
              <w:right w:val="nil"/>
            </w:tcBorders>
            <w:shd w:val="clear" w:color="000000" w:fill="FFFFFF"/>
            <w:noWrap/>
            <w:vAlign w:val="bottom"/>
            <w:hideMark/>
          </w:tcPr>
          <w:p w14:paraId="5138A5ED"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75.2%</w:t>
            </w:r>
          </w:p>
        </w:tc>
        <w:tc>
          <w:tcPr>
            <w:tcW w:w="1023" w:type="dxa"/>
            <w:tcBorders>
              <w:top w:val="nil"/>
              <w:left w:val="nil"/>
              <w:bottom w:val="nil"/>
              <w:right w:val="nil"/>
            </w:tcBorders>
            <w:shd w:val="clear" w:color="000000" w:fill="FFFFFF"/>
            <w:noWrap/>
            <w:vAlign w:val="bottom"/>
            <w:hideMark/>
          </w:tcPr>
          <w:p w14:paraId="05425828"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83.4%</w:t>
            </w:r>
          </w:p>
        </w:tc>
        <w:tc>
          <w:tcPr>
            <w:tcW w:w="1023" w:type="dxa"/>
            <w:tcBorders>
              <w:top w:val="nil"/>
              <w:left w:val="nil"/>
              <w:bottom w:val="nil"/>
              <w:right w:val="nil"/>
            </w:tcBorders>
            <w:shd w:val="clear" w:color="000000" w:fill="FFFFFF"/>
            <w:noWrap/>
            <w:vAlign w:val="bottom"/>
            <w:hideMark/>
          </w:tcPr>
          <w:p w14:paraId="5D3CAEF3"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92.9%</w:t>
            </w:r>
          </w:p>
        </w:tc>
        <w:tc>
          <w:tcPr>
            <w:tcW w:w="1023" w:type="dxa"/>
            <w:tcBorders>
              <w:top w:val="nil"/>
              <w:left w:val="nil"/>
              <w:bottom w:val="nil"/>
              <w:right w:val="single" w:sz="8" w:space="0" w:color="auto"/>
            </w:tcBorders>
            <w:shd w:val="clear" w:color="000000" w:fill="FFFFFF"/>
            <w:noWrap/>
            <w:vAlign w:val="bottom"/>
            <w:hideMark/>
          </w:tcPr>
          <w:p w14:paraId="7C1097DC"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103.6%</w:t>
            </w:r>
          </w:p>
        </w:tc>
      </w:tr>
      <w:tr w:rsidR="0072086A" w:rsidRPr="0072086A" w14:paraId="659F1A17"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1E80CB19"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Quick Ratio</w:t>
            </w:r>
          </w:p>
        </w:tc>
        <w:tc>
          <w:tcPr>
            <w:tcW w:w="1023" w:type="dxa"/>
            <w:tcBorders>
              <w:top w:val="nil"/>
              <w:left w:val="nil"/>
              <w:bottom w:val="nil"/>
              <w:right w:val="nil"/>
            </w:tcBorders>
            <w:shd w:val="clear" w:color="000000" w:fill="FFFFFF"/>
            <w:noWrap/>
            <w:vAlign w:val="bottom"/>
            <w:hideMark/>
          </w:tcPr>
          <w:p w14:paraId="4DFC4E8E"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98.5%</w:t>
            </w:r>
          </w:p>
        </w:tc>
        <w:tc>
          <w:tcPr>
            <w:tcW w:w="1023" w:type="dxa"/>
            <w:tcBorders>
              <w:top w:val="nil"/>
              <w:left w:val="nil"/>
              <w:bottom w:val="nil"/>
              <w:right w:val="nil"/>
            </w:tcBorders>
            <w:shd w:val="clear" w:color="000000" w:fill="FFFFFF"/>
            <w:noWrap/>
            <w:vAlign w:val="bottom"/>
            <w:hideMark/>
          </w:tcPr>
          <w:p w14:paraId="635E7A92"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86.3%</w:t>
            </w:r>
          </w:p>
        </w:tc>
        <w:tc>
          <w:tcPr>
            <w:tcW w:w="1023" w:type="dxa"/>
            <w:tcBorders>
              <w:top w:val="nil"/>
              <w:left w:val="nil"/>
              <w:bottom w:val="nil"/>
              <w:right w:val="nil"/>
            </w:tcBorders>
            <w:shd w:val="clear" w:color="000000" w:fill="FFFFFF"/>
            <w:noWrap/>
            <w:vAlign w:val="bottom"/>
            <w:hideMark/>
          </w:tcPr>
          <w:p w14:paraId="3A911CD7"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22.3%</w:t>
            </w:r>
          </w:p>
        </w:tc>
        <w:tc>
          <w:tcPr>
            <w:tcW w:w="1023" w:type="dxa"/>
            <w:tcBorders>
              <w:top w:val="nil"/>
              <w:left w:val="nil"/>
              <w:bottom w:val="nil"/>
              <w:right w:val="nil"/>
            </w:tcBorders>
            <w:shd w:val="clear" w:color="000000" w:fill="FFFFFF"/>
            <w:noWrap/>
            <w:vAlign w:val="bottom"/>
            <w:hideMark/>
          </w:tcPr>
          <w:p w14:paraId="6C0C29DD"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16.2%</w:t>
            </w:r>
          </w:p>
        </w:tc>
        <w:tc>
          <w:tcPr>
            <w:tcW w:w="1023" w:type="dxa"/>
            <w:tcBorders>
              <w:top w:val="nil"/>
              <w:left w:val="nil"/>
              <w:bottom w:val="nil"/>
              <w:right w:val="nil"/>
            </w:tcBorders>
            <w:shd w:val="clear" w:color="000000" w:fill="FFFFFF"/>
            <w:noWrap/>
            <w:vAlign w:val="bottom"/>
            <w:hideMark/>
          </w:tcPr>
          <w:p w14:paraId="29AEE13F"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22.0%</w:t>
            </w:r>
          </w:p>
        </w:tc>
        <w:tc>
          <w:tcPr>
            <w:tcW w:w="1023" w:type="dxa"/>
            <w:tcBorders>
              <w:top w:val="nil"/>
              <w:left w:val="nil"/>
              <w:bottom w:val="nil"/>
              <w:right w:val="nil"/>
            </w:tcBorders>
            <w:shd w:val="clear" w:color="000000" w:fill="FFFFFF"/>
            <w:noWrap/>
            <w:vAlign w:val="bottom"/>
            <w:hideMark/>
          </w:tcPr>
          <w:p w14:paraId="3503FF56"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28.6%</w:t>
            </w:r>
          </w:p>
        </w:tc>
        <w:tc>
          <w:tcPr>
            <w:tcW w:w="1023" w:type="dxa"/>
            <w:tcBorders>
              <w:top w:val="nil"/>
              <w:left w:val="nil"/>
              <w:bottom w:val="nil"/>
              <w:right w:val="nil"/>
            </w:tcBorders>
            <w:shd w:val="clear" w:color="000000" w:fill="FFFFFF"/>
            <w:noWrap/>
            <w:vAlign w:val="bottom"/>
            <w:hideMark/>
          </w:tcPr>
          <w:p w14:paraId="75674AB9"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36.8%</w:t>
            </w:r>
          </w:p>
        </w:tc>
        <w:tc>
          <w:tcPr>
            <w:tcW w:w="1023" w:type="dxa"/>
            <w:tcBorders>
              <w:top w:val="nil"/>
              <w:left w:val="nil"/>
              <w:bottom w:val="nil"/>
              <w:right w:val="nil"/>
            </w:tcBorders>
            <w:shd w:val="clear" w:color="000000" w:fill="FFFFFF"/>
            <w:noWrap/>
            <w:vAlign w:val="bottom"/>
            <w:hideMark/>
          </w:tcPr>
          <w:p w14:paraId="16AA9C29"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46.3%</w:t>
            </w:r>
          </w:p>
        </w:tc>
        <w:tc>
          <w:tcPr>
            <w:tcW w:w="1023" w:type="dxa"/>
            <w:tcBorders>
              <w:top w:val="nil"/>
              <w:left w:val="nil"/>
              <w:bottom w:val="nil"/>
              <w:right w:val="single" w:sz="8" w:space="0" w:color="auto"/>
            </w:tcBorders>
            <w:shd w:val="clear" w:color="000000" w:fill="FFFFFF"/>
            <w:noWrap/>
            <w:vAlign w:val="bottom"/>
            <w:hideMark/>
          </w:tcPr>
          <w:p w14:paraId="2A359B9A"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57.0%</w:t>
            </w:r>
          </w:p>
        </w:tc>
      </w:tr>
      <w:tr w:rsidR="0072086A" w:rsidRPr="0072086A" w14:paraId="685DDCF6"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23B8D892"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Cash Ratio</w:t>
            </w:r>
          </w:p>
        </w:tc>
        <w:tc>
          <w:tcPr>
            <w:tcW w:w="1023" w:type="dxa"/>
            <w:tcBorders>
              <w:top w:val="nil"/>
              <w:left w:val="nil"/>
              <w:bottom w:val="nil"/>
              <w:right w:val="nil"/>
            </w:tcBorders>
            <w:shd w:val="clear" w:color="000000" w:fill="FFFFFF"/>
            <w:noWrap/>
            <w:vAlign w:val="bottom"/>
            <w:hideMark/>
          </w:tcPr>
          <w:p w14:paraId="05592851"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91.2%</w:t>
            </w:r>
          </w:p>
        </w:tc>
        <w:tc>
          <w:tcPr>
            <w:tcW w:w="1023" w:type="dxa"/>
            <w:tcBorders>
              <w:top w:val="nil"/>
              <w:left w:val="nil"/>
              <w:bottom w:val="nil"/>
              <w:right w:val="nil"/>
            </w:tcBorders>
            <w:shd w:val="clear" w:color="000000" w:fill="FFFFFF"/>
            <w:noWrap/>
            <w:vAlign w:val="bottom"/>
            <w:hideMark/>
          </w:tcPr>
          <w:p w14:paraId="486C65A5"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79.9%</w:t>
            </w:r>
          </w:p>
        </w:tc>
        <w:tc>
          <w:tcPr>
            <w:tcW w:w="1023" w:type="dxa"/>
            <w:tcBorders>
              <w:top w:val="nil"/>
              <w:left w:val="nil"/>
              <w:bottom w:val="nil"/>
              <w:right w:val="nil"/>
            </w:tcBorders>
            <w:shd w:val="clear" w:color="000000" w:fill="FFFFFF"/>
            <w:noWrap/>
            <w:vAlign w:val="bottom"/>
            <w:hideMark/>
          </w:tcPr>
          <w:p w14:paraId="018449F4"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14.5%</w:t>
            </w:r>
          </w:p>
        </w:tc>
        <w:tc>
          <w:tcPr>
            <w:tcW w:w="1023" w:type="dxa"/>
            <w:tcBorders>
              <w:top w:val="nil"/>
              <w:left w:val="nil"/>
              <w:bottom w:val="nil"/>
              <w:right w:val="nil"/>
            </w:tcBorders>
            <w:shd w:val="clear" w:color="000000" w:fill="FFFFFF"/>
            <w:noWrap/>
            <w:vAlign w:val="bottom"/>
            <w:hideMark/>
          </w:tcPr>
          <w:p w14:paraId="4B15D567"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9.7%</w:t>
            </w:r>
          </w:p>
        </w:tc>
        <w:tc>
          <w:tcPr>
            <w:tcW w:w="1023" w:type="dxa"/>
            <w:tcBorders>
              <w:top w:val="nil"/>
              <w:left w:val="nil"/>
              <w:bottom w:val="nil"/>
              <w:right w:val="nil"/>
            </w:tcBorders>
            <w:shd w:val="clear" w:color="000000" w:fill="FFFFFF"/>
            <w:noWrap/>
            <w:vAlign w:val="bottom"/>
            <w:hideMark/>
          </w:tcPr>
          <w:p w14:paraId="1FA8C05D"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15.5%</w:t>
            </w:r>
          </w:p>
        </w:tc>
        <w:tc>
          <w:tcPr>
            <w:tcW w:w="1023" w:type="dxa"/>
            <w:tcBorders>
              <w:top w:val="nil"/>
              <w:left w:val="nil"/>
              <w:bottom w:val="nil"/>
              <w:right w:val="nil"/>
            </w:tcBorders>
            <w:shd w:val="clear" w:color="000000" w:fill="FFFFFF"/>
            <w:noWrap/>
            <w:vAlign w:val="bottom"/>
            <w:hideMark/>
          </w:tcPr>
          <w:p w14:paraId="27E87CF7"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22.2%</w:t>
            </w:r>
          </w:p>
        </w:tc>
        <w:tc>
          <w:tcPr>
            <w:tcW w:w="1023" w:type="dxa"/>
            <w:tcBorders>
              <w:top w:val="nil"/>
              <w:left w:val="nil"/>
              <w:bottom w:val="nil"/>
              <w:right w:val="nil"/>
            </w:tcBorders>
            <w:shd w:val="clear" w:color="000000" w:fill="FFFFFF"/>
            <w:noWrap/>
            <w:vAlign w:val="bottom"/>
            <w:hideMark/>
          </w:tcPr>
          <w:p w14:paraId="1D0EC6A8"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30.3%</w:t>
            </w:r>
          </w:p>
        </w:tc>
        <w:tc>
          <w:tcPr>
            <w:tcW w:w="1023" w:type="dxa"/>
            <w:tcBorders>
              <w:top w:val="nil"/>
              <w:left w:val="nil"/>
              <w:bottom w:val="nil"/>
              <w:right w:val="nil"/>
            </w:tcBorders>
            <w:shd w:val="clear" w:color="000000" w:fill="FFFFFF"/>
            <w:noWrap/>
            <w:vAlign w:val="bottom"/>
            <w:hideMark/>
          </w:tcPr>
          <w:p w14:paraId="5AE7D3FA"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39.8%</w:t>
            </w:r>
          </w:p>
        </w:tc>
        <w:tc>
          <w:tcPr>
            <w:tcW w:w="1023" w:type="dxa"/>
            <w:tcBorders>
              <w:top w:val="nil"/>
              <w:left w:val="nil"/>
              <w:bottom w:val="nil"/>
              <w:right w:val="single" w:sz="8" w:space="0" w:color="auto"/>
            </w:tcBorders>
            <w:shd w:val="clear" w:color="000000" w:fill="FFFFFF"/>
            <w:noWrap/>
            <w:vAlign w:val="bottom"/>
            <w:hideMark/>
          </w:tcPr>
          <w:p w14:paraId="0ABBF976"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50.5%</w:t>
            </w:r>
          </w:p>
        </w:tc>
      </w:tr>
      <w:tr w:rsidR="0072086A" w:rsidRPr="0072086A" w14:paraId="2EAA8DDE" w14:textId="77777777" w:rsidTr="005F1FC9">
        <w:trPr>
          <w:trHeight w:val="266"/>
        </w:trPr>
        <w:tc>
          <w:tcPr>
            <w:tcW w:w="2458" w:type="dxa"/>
            <w:tcBorders>
              <w:top w:val="nil"/>
              <w:left w:val="single" w:sz="8" w:space="0" w:color="auto"/>
              <w:bottom w:val="nil"/>
              <w:right w:val="nil"/>
            </w:tcBorders>
            <w:shd w:val="clear" w:color="000000" w:fill="4472C4"/>
            <w:noWrap/>
            <w:vAlign w:val="bottom"/>
            <w:hideMark/>
          </w:tcPr>
          <w:p w14:paraId="73F2B2F0" w14:textId="77777777" w:rsidR="0072086A" w:rsidRPr="0072086A" w:rsidRDefault="0072086A" w:rsidP="0072086A">
            <w:pPr>
              <w:rPr>
                <w:rFonts w:ascii="Times New Roman" w:hAnsi="Times New Roman"/>
                <w:b/>
                <w:bCs/>
                <w:color w:val="FFFFFF"/>
                <w:lang w:val="en-CA" w:eastAsia="zh-CN"/>
              </w:rPr>
            </w:pPr>
            <w:r w:rsidRPr="0072086A">
              <w:rPr>
                <w:rFonts w:ascii="Times New Roman" w:hAnsi="Times New Roman"/>
                <w:b/>
                <w:bCs/>
                <w:color w:val="FFFFFF"/>
                <w:lang w:val="en-CA" w:eastAsia="zh-CN"/>
              </w:rPr>
              <w:t>Activity</w:t>
            </w:r>
          </w:p>
        </w:tc>
        <w:tc>
          <w:tcPr>
            <w:tcW w:w="1023" w:type="dxa"/>
            <w:tcBorders>
              <w:top w:val="nil"/>
              <w:left w:val="nil"/>
              <w:bottom w:val="nil"/>
              <w:right w:val="nil"/>
            </w:tcBorders>
            <w:shd w:val="clear" w:color="000000" w:fill="4472C4"/>
            <w:noWrap/>
            <w:vAlign w:val="bottom"/>
            <w:hideMark/>
          </w:tcPr>
          <w:p w14:paraId="40C79EC5" w14:textId="77777777" w:rsidR="0072086A" w:rsidRPr="0072086A" w:rsidRDefault="0072086A" w:rsidP="0072086A">
            <w:pPr>
              <w:rPr>
                <w:rFonts w:ascii="Times New Roman" w:hAnsi="Times New Roman"/>
                <w:b/>
                <w:bCs/>
                <w:color w:val="FFFFFF"/>
                <w:lang w:val="en-CA" w:eastAsia="zh-CN"/>
              </w:rPr>
            </w:pPr>
            <w:r w:rsidRPr="0072086A">
              <w:rPr>
                <w:rFonts w:ascii="Times New Roman" w:hAnsi="Times New Roman"/>
                <w:b/>
                <w:bCs/>
                <w:color w:val="FFFFFF"/>
                <w:lang w:val="en-CA" w:eastAsia="zh-CN"/>
              </w:rPr>
              <w:t> </w:t>
            </w:r>
          </w:p>
        </w:tc>
        <w:tc>
          <w:tcPr>
            <w:tcW w:w="1023" w:type="dxa"/>
            <w:tcBorders>
              <w:top w:val="nil"/>
              <w:left w:val="nil"/>
              <w:bottom w:val="nil"/>
              <w:right w:val="nil"/>
            </w:tcBorders>
            <w:shd w:val="clear" w:color="000000" w:fill="4472C4"/>
            <w:noWrap/>
            <w:vAlign w:val="bottom"/>
            <w:hideMark/>
          </w:tcPr>
          <w:p w14:paraId="4522AF87"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5EB49E37"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52268B75"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2BC0DB6D"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20AEA8DC"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6790C59A"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37F9A24D"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single" w:sz="8" w:space="0" w:color="auto"/>
            </w:tcBorders>
            <w:shd w:val="clear" w:color="000000" w:fill="4472C4"/>
            <w:noWrap/>
            <w:vAlign w:val="bottom"/>
            <w:hideMark/>
          </w:tcPr>
          <w:p w14:paraId="7ED43963"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r>
      <w:tr w:rsidR="0072086A" w:rsidRPr="0072086A" w14:paraId="5D508A32"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60113DB6"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Total Inventory Turnover</w:t>
            </w:r>
          </w:p>
        </w:tc>
        <w:tc>
          <w:tcPr>
            <w:tcW w:w="1023" w:type="dxa"/>
            <w:tcBorders>
              <w:top w:val="nil"/>
              <w:left w:val="nil"/>
              <w:bottom w:val="nil"/>
              <w:right w:val="nil"/>
            </w:tcBorders>
            <w:shd w:val="clear" w:color="000000" w:fill="FFFFFF"/>
            <w:noWrap/>
            <w:vAlign w:val="bottom"/>
            <w:hideMark/>
          </w:tcPr>
          <w:p w14:paraId="10795493"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17.1 </w:t>
            </w:r>
          </w:p>
        </w:tc>
        <w:tc>
          <w:tcPr>
            <w:tcW w:w="1023" w:type="dxa"/>
            <w:tcBorders>
              <w:top w:val="nil"/>
              <w:left w:val="nil"/>
              <w:bottom w:val="nil"/>
              <w:right w:val="nil"/>
            </w:tcBorders>
            <w:shd w:val="clear" w:color="000000" w:fill="FFFFFF"/>
            <w:noWrap/>
            <w:vAlign w:val="bottom"/>
            <w:hideMark/>
          </w:tcPr>
          <w:p w14:paraId="19AE3CA2"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15.2 </w:t>
            </w:r>
          </w:p>
        </w:tc>
        <w:tc>
          <w:tcPr>
            <w:tcW w:w="1023" w:type="dxa"/>
            <w:tcBorders>
              <w:top w:val="nil"/>
              <w:left w:val="nil"/>
              <w:bottom w:val="nil"/>
              <w:right w:val="nil"/>
            </w:tcBorders>
            <w:shd w:val="clear" w:color="000000" w:fill="FFFFFF"/>
            <w:noWrap/>
            <w:vAlign w:val="bottom"/>
            <w:hideMark/>
          </w:tcPr>
          <w:p w14:paraId="4C58D34A"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13.7 </w:t>
            </w:r>
          </w:p>
        </w:tc>
        <w:tc>
          <w:tcPr>
            <w:tcW w:w="1023" w:type="dxa"/>
            <w:tcBorders>
              <w:top w:val="nil"/>
              <w:left w:val="nil"/>
              <w:bottom w:val="nil"/>
              <w:right w:val="nil"/>
            </w:tcBorders>
            <w:shd w:val="clear" w:color="000000" w:fill="FFFFFF"/>
            <w:noWrap/>
            <w:vAlign w:val="bottom"/>
            <w:hideMark/>
          </w:tcPr>
          <w:p w14:paraId="06AE9FD1"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11.6 </w:t>
            </w:r>
          </w:p>
        </w:tc>
        <w:tc>
          <w:tcPr>
            <w:tcW w:w="1023" w:type="dxa"/>
            <w:tcBorders>
              <w:top w:val="nil"/>
              <w:left w:val="nil"/>
              <w:bottom w:val="nil"/>
              <w:right w:val="nil"/>
            </w:tcBorders>
            <w:shd w:val="clear" w:color="000000" w:fill="FFFFFF"/>
            <w:noWrap/>
            <w:vAlign w:val="bottom"/>
            <w:hideMark/>
          </w:tcPr>
          <w:p w14:paraId="7435D7E9"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11.6 </w:t>
            </w:r>
          </w:p>
        </w:tc>
        <w:tc>
          <w:tcPr>
            <w:tcW w:w="1023" w:type="dxa"/>
            <w:tcBorders>
              <w:top w:val="nil"/>
              <w:left w:val="nil"/>
              <w:bottom w:val="nil"/>
              <w:right w:val="nil"/>
            </w:tcBorders>
            <w:shd w:val="clear" w:color="000000" w:fill="FFFFFF"/>
            <w:noWrap/>
            <w:vAlign w:val="bottom"/>
            <w:hideMark/>
          </w:tcPr>
          <w:p w14:paraId="50A8EE52"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11.6 </w:t>
            </w:r>
          </w:p>
        </w:tc>
        <w:tc>
          <w:tcPr>
            <w:tcW w:w="1023" w:type="dxa"/>
            <w:tcBorders>
              <w:top w:val="nil"/>
              <w:left w:val="nil"/>
              <w:bottom w:val="nil"/>
              <w:right w:val="nil"/>
            </w:tcBorders>
            <w:shd w:val="clear" w:color="000000" w:fill="FFFFFF"/>
            <w:noWrap/>
            <w:vAlign w:val="bottom"/>
            <w:hideMark/>
          </w:tcPr>
          <w:p w14:paraId="7BCB902F"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11.6 </w:t>
            </w:r>
          </w:p>
        </w:tc>
        <w:tc>
          <w:tcPr>
            <w:tcW w:w="1023" w:type="dxa"/>
            <w:tcBorders>
              <w:top w:val="nil"/>
              <w:left w:val="nil"/>
              <w:bottom w:val="nil"/>
              <w:right w:val="nil"/>
            </w:tcBorders>
            <w:shd w:val="clear" w:color="000000" w:fill="FFFFFF"/>
            <w:noWrap/>
            <w:vAlign w:val="bottom"/>
            <w:hideMark/>
          </w:tcPr>
          <w:p w14:paraId="4B675774"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11.6 </w:t>
            </w:r>
          </w:p>
        </w:tc>
        <w:tc>
          <w:tcPr>
            <w:tcW w:w="1023" w:type="dxa"/>
            <w:tcBorders>
              <w:top w:val="nil"/>
              <w:left w:val="nil"/>
              <w:bottom w:val="nil"/>
              <w:right w:val="single" w:sz="8" w:space="0" w:color="auto"/>
            </w:tcBorders>
            <w:shd w:val="clear" w:color="000000" w:fill="FFFFFF"/>
            <w:noWrap/>
            <w:vAlign w:val="bottom"/>
            <w:hideMark/>
          </w:tcPr>
          <w:p w14:paraId="5692EB0F"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11.6 </w:t>
            </w:r>
          </w:p>
        </w:tc>
      </w:tr>
      <w:tr w:rsidR="0072086A" w:rsidRPr="0072086A" w14:paraId="0EDDB906"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75D281A5"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Total Asset Turnover</w:t>
            </w:r>
          </w:p>
        </w:tc>
        <w:tc>
          <w:tcPr>
            <w:tcW w:w="1023" w:type="dxa"/>
            <w:tcBorders>
              <w:top w:val="nil"/>
              <w:left w:val="nil"/>
              <w:bottom w:val="nil"/>
              <w:right w:val="nil"/>
            </w:tcBorders>
            <w:shd w:val="clear" w:color="000000" w:fill="FFFFFF"/>
            <w:noWrap/>
            <w:vAlign w:val="bottom"/>
            <w:hideMark/>
          </w:tcPr>
          <w:p w14:paraId="27C47CD8"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0.3 </w:t>
            </w:r>
          </w:p>
        </w:tc>
        <w:tc>
          <w:tcPr>
            <w:tcW w:w="1023" w:type="dxa"/>
            <w:tcBorders>
              <w:top w:val="nil"/>
              <w:left w:val="nil"/>
              <w:bottom w:val="nil"/>
              <w:right w:val="nil"/>
            </w:tcBorders>
            <w:shd w:val="clear" w:color="000000" w:fill="FFFFFF"/>
            <w:noWrap/>
            <w:vAlign w:val="bottom"/>
            <w:hideMark/>
          </w:tcPr>
          <w:p w14:paraId="37F64582"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0.3 </w:t>
            </w:r>
          </w:p>
        </w:tc>
        <w:tc>
          <w:tcPr>
            <w:tcW w:w="1023" w:type="dxa"/>
            <w:tcBorders>
              <w:top w:val="nil"/>
              <w:left w:val="nil"/>
              <w:bottom w:val="nil"/>
              <w:right w:val="nil"/>
            </w:tcBorders>
            <w:shd w:val="clear" w:color="000000" w:fill="FFFFFF"/>
            <w:noWrap/>
            <w:vAlign w:val="bottom"/>
            <w:hideMark/>
          </w:tcPr>
          <w:p w14:paraId="7DD55A4C"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0.3 </w:t>
            </w:r>
          </w:p>
        </w:tc>
        <w:tc>
          <w:tcPr>
            <w:tcW w:w="1023" w:type="dxa"/>
            <w:tcBorders>
              <w:top w:val="nil"/>
              <w:left w:val="nil"/>
              <w:bottom w:val="nil"/>
              <w:right w:val="nil"/>
            </w:tcBorders>
            <w:shd w:val="clear" w:color="000000" w:fill="FFFFFF"/>
            <w:noWrap/>
            <w:vAlign w:val="bottom"/>
            <w:hideMark/>
          </w:tcPr>
          <w:p w14:paraId="7CF62026"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0.3 </w:t>
            </w:r>
          </w:p>
        </w:tc>
        <w:tc>
          <w:tcPr>
            <w:tcW w:w="1023" w:type="dxa"/>
            <w:tcBorders>
              <w:top w:val="nil"/>
              <w:left w:val="nil"/>
              <w:bottom w:val="nil"/>
              <w:right w:val="nil"/>
            </w:tcBorders>
            <w:shd w:val="clear" w:color="000000" w:fill="FFFFFF"/>
            <w:noWrap/>
            <w:vAlign w:val="bottom"/>
            <w:hideMark/>
          </w:tcPr>
          <w:p w14:paraId="093C4C77"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0.4 </w:t>
            </w:r>
          </w:p>
        </w:tc>
        <w:tc>
          <w:tcPr>
            <w:tcW w:w="1023" w:type="dxa"/>
            <w:tcBorders>
              <w:top w:val="nil"/>
              <w:left w:val="nil"/>
              <w:bottom w:val="nil"/>
              <w:right w:val="nil"/>
            </w:tcBorders>
            <w:shd w:val="clear" w:color="000000" w:fill="FFFFFF"/>
            <w:noWrap/>
            <w:vAlign w:val="bottom"/>
            <w:hideMark/>
          </w:tcPr>
          <w:p w14:paraId="694E320B"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0.4 </w:t>
            </w:r>
          </w:p>
        </w:tc>
        <w:tc>
          <w:tcPr>
            <w:tcW w:w="1023" w:type="dxa"/>
            <w:tcBorders>
              <w:top w:val="nil"/>
              <w:left w:val="nil"/>
              <w:bottom w:val="nil"/>
              <w:right w:val="nil"/>
            </w:tcBorders>
            <w:shd w:val="clear" w:color="000000" w:fill="FFFFFF"/>
            <w:noWrap/>
            <w:vAlign w:val="bottom"/>
            <w:hideMark/>
          </w:tcPr>
          <w:p w14:paraId="77E2AE67"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0.4 </w:t>
            </w:r>
          </w:p>
        </w:tc>
        <w:tc>
          <w:tcPr>
            <w:tcW w:w="1023" w:type="dxa"/>
            <w:tcBorders>
              <w:top w:val="nil"/>
              <w:left w:val="nil"/>
              <w:bottom w:val="nil"/>
              <w:right w:val="nil"/>
            </w:tcBorders>
            <w:shd w:val="clear" w:color="000000" w:fill="FFFFFF"/>
            <w:noWrap/>
            <w:vAlign w:val="bottom"/>
            <w:hideMark/>
          </w:tcPr>
          <w:p w14:paraId="4E49A086"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0.4 </w:t>
            </w:r>
          </w:p>
        </w:tc>
        <w:tc>
          <w:tcPr>
            <w:tcW w:w="1023" w:type="dxa"/>
            <w:tcBorders>
              <w:top w:val="nil"/>
              <w:left w:val="nil"/>
              <w:bottom w:val="nil"/>
              <w:right w:val="single" w:sz="8" w:space="0" w:color="auto"/>
            </w:tcBorders>
            <w:shd w:val="clear" w:color="000000" w:fill="FFFFFF"/>
            <w:noWrap/>
            <w:vAlign w:val="bottom"/>
            <w:hideMark/>
          </w:tcPr>
          <w:p w14:paraId="79A01F4D"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0.4 </w:t>
            </w:r>
          </w:p>
        </w:tc>
      </w:tr>
      <w:tr w:rsidR="0072086A" w:rsidRPr="0072086A" w14:paraId="1D16A0E7" w14:textId="77777777" w:rsidTr="005F1FC9">
        <w:trPr>
          <w:trHeight w:val="266"/>
        </w:trPr>
        <w:tc>
          <w:tcPr>
            <w:tcW w:w="2458" w:type="dxa"/>
            <w:tcBorders>
              <w:top w:val="nil"/>
              <w:left w:val="single" w:sz="8" w:space="0" w:color="auto"/>
              <w:bottom w:val="nil"/>
              <w:right w:val="nil"/>
            </w:tcBorders>
            <w:shd w:val="clear" w:color="000000" w:fill="4472C4"/>
            <w:noWrap/>
            <w:vAlign w:val="bottom"/>
            <w:hideMark/>
          </w:tcPr>
          <w:p w14:paraId="6B0FCBF5" w14:textId="77777777" w:rsidR="0072086A" w:rsidRPr="0072086A" w:rsidRDefault="0072086A" w:rsidP="0072086A">
            <w:pPr>
              <w:rPr>
                <w:rFonts w:ascii="Times New Roman" w:hAnsi="Times New Roman"/>
                <w:b/>
                <w:bCs/>
                <w:color w:val="FFFFFF"/>
                <w:lang w:val="en-CA" w:eastAsia="zh-CN"/>
              </w:rPr>
            </w:pPr>
            <w:r w:rsidRPr="0072086A">
              <w:rPr>
                <w:rFonts w:ascii="Times New Roman" w:hAnsi="Times New Roman"/>
                <w:b/>
                <w:bCs/>
                <w:color w:val="FFFFFF"/>
                <w:lang w:val="en-CA" w:eastAsia="zh-CN"/>
              </w:rPr>
              <w:t>Financial Leverage</w:t>
            </w:r>
          </w:p>
        </w:tc>
        <w:tc>
          <w:tcPr>
            <w:tcW w:w="1023" w:type="dxa"/>
            <w:tcBorders>
              <w:top w:val="nil"/>
              <w:left w:val="nil"/>
              <w:bottom w:val="nil"/>
              <w:right w:val="nil"/>
            </w:tcBorders>
            <w:shd w:val="clear" w:color="000000" w:fill="4472C4"/>
            <w:noWrap/>
            <w:vAlign w:val="bottom"/>
            <w:hideMark/>
          </w:tcPr>
          <w:p w14:paraId="5810595C" w14:textId="77777777" w:rsidR="0072086A" w:rsidRPr="0072086A" w:rsidRDefault="0072086A" w:rsidP="0072086A">
            <w:pPr>
              <w:rPr>
                <w:rFonts w:ascii="Times New Roman" w:hAnsi="Times New Roman"/>
                <w:b/>
                <w:bCs/>
                <w:color w:val="FFFFFF"/>
                <w:lang w:val="en-CA" w:eastAsia="zh-CN"/>
              </w:rPr>
            </w:pPr>
            <w:r w:rsidRPr="0072086A">
              <w:rPr>
                <w:rFonts w:ascii="Times New Roman" w:hAnsi="Times New Roman"/>
                <w:b/>
                <w:bCs/>
                <w:color w:val="FFFFFF"/>
                <w:lang w:val="en-CA" w:eastAsia="zh-CN"/>
              </w:rPr>
              <w:t> </w:t>
            </w:r>
          </w:p>
        </w:tc>
        <w:tc>
          <w:tcPr>
            <w:tcW w:w="1023" w:type="dxa"/>
            <w:tcBorders>
              <w:top w:val="nil"/>
              <w:left w:val="nil"/>
              <w:bottom w:val="nil"/>
              <w:right w:val="nil"/>
            </w:tcBorders>
            <w:shd w:val="clear" w:color="000000" w:fill="4472C4"/>
            <w:noWrap/>
            <w:vAlign w:val="bottom"/>
            <w:hideMark/>
          </w:tcPr>
          <w:p w14:paraId="0640F2DF"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04B1FD54"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3B50285A"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0D28DE50"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73E55FD4"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419A2DC5"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nil"/>
            </w:tcBorders>
            <w:shd w:val="clear" w:color="000000" w:fill="4472C4"/>
            <w:noWrap/>
            <w:vAlign w:val="bottom"/>
            <w:hideMark/>
          </w:tcPr>
          <w:p w14:paraId="52DAABD1"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c>
          <w:tcPr>
            <w:tcW w:w="1023" w:type="dxa"/>
            <w:tcBorders>
              <w:top w:val="nil"/>
              <w:left w:val="nil"/>
              <w:bottom w:val="nil"/>
              <w:right w:val="single" w:sz="8" w:space="0" w:color="auto"/>
            </w:tcBorders>
            <w:shd w:val="clear" w:color="000000" w:fill="4472C4"/>
            <w:noWrap/>
            <w:vAlign w:val="bottom"/>
            <w:hideMark/>
          </w:tcPr>
          <w:p w14:paraId="29FE552E" w14:textId="77777777" w:rsidR="0072086A" w:rsidRPr="0072086A" w:rsidRDefault="0072086A" w:rsidP="0072086A">
            <w:pPr>
              <w:rPr>
                <w:rFonts w:ascii="Times New Roman" w:hAnsi="Times New Roman"/>
                <w:color w:val="FFFFFF"/>
                <w:lang w:val="en-CA" w:eastAsia="zh-CN"/>
              </w:rPr>
            </w:pPr>
            <w:r w:rsidRPr="0072086A">
              <w:rPr>
                <w:rFonts w:ascii="Times New Roman" w:hAnsi="Times New Roman"/>
                <w:color w:val="FFFFFF"/>
                <w:lang w:val="en-CA" w:eastAsia="zh-CN"/>
              </w:rPr>
              <w:t> </w:t>
            </w:r>
          </w:p>
        </w:tc>
      </w:tr>
      <w:tr w:rsidR="0072086A" w:rsidRPr="0072086A" w14:paraId="2E70DB71"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08277392"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Long-term Debt to Assets</w:t>
            </w:r>
          </w:p>
        </w:tc>
        <w:tc>
          <w:tcPr>
            <w:tcW w:w="1023" w:type="dxa"/>
            <w:tcBorders>
              <w:top w:val="nil"/>
              <w:left w:val="nil"/>
              <w:bottom w:val="nil"/>
              <w:right w:val="nil"/>
            </w:tcBorders>
            <w:shd w:val="clear" w:color="000000" w:fill="FFFFFF"/>
            <w:noWrap/>
            <w:vAlign w:val="bottom"/>
            <w:hideMark/>
          </w:tcPr>
          <w:p w14:paraId="6C895D9C"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29.7%</w:t>
            </w:r>
          </w:p>
        </w:tc>
        <w:tc>
          <w:tcPr>
            <w:tcW w:w="1023" w:type="dxa"/>
            <w:tcBorders>
              <w:top w:val="nil"/>
              <w:left w:val="nil"/>
              <w:bottom w:val="nil"/>
              <w:right w:val="nil"/>
            </w:tcBorders>
            <w:shd w:val="clear" w:color="000000" w:fill="FFFFFF"/>
            <w:noWrap/>
            <w:vAlign w:val="bottom"/>
            <w:hideMark/>
          </w:tcPr>
          <w:p w14:paraId="6CD92500"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30.5%</w:t>
            </w:r>
          </w:p>
        </w:tc>
        <w:tc>
          <w:tcPr>
            <w:tcW w:w="1023" w:type="dxa"/>
            <w:tcBorders>
              <w:top w:val="nil"/>
              <w:left w:val="nil"/>
              <w:bottom w:val="nil"/>
              <w:right w:val="nil"/>
            </w:tcBorders>
            <w:shd w:val="clear" w:color="000000" w:fill="FFFFFF"/>
            <w:noWrap/>
            <w:vAlign w:val="bottom"/>
            <w:hideMark/>
          </w:tcPr>
          <w:p w14:paraId="616D709A"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28.6%</w:t>
            </w:r>
          </w:p>
        </w:tc>
        <w:tc>
          <w:tcPr>
            <w:tcW w:w="1023" w:type="dxa"/>
            <w:tcBorders>
              <w:top w:val="nil"/>
              <w:left w:val="nil"/>
              <w:bottom w:val="nil"/>
              <w:right w:val="nil"/>
            </w:tcBorders>
            <w:shd w:val="clear" w:color="000000" w:fill="FFFFFF"/>
            <w:noWrap/>
            <w:vAlign w:val="bottom"/>
            <w:hideMark/>
          </w:tcPr>
          <w:p w14:paraId="3E85AAAC"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29.3%</w:t>
            </w:r>
          </w:p>
        </w:tc>
        <w:tc>
          <w:tcPr>
            <w:tcW w:w="1023" w:type="dxa"/>
            <w:tcBorders>
              <w:top w:val="nil"/>
              <w:left w:val="nil"/>
              <w:bottom w:val="nil"/>
              <w:right w:val="nil"/>
            </w:tcBorders>
            <w:shd w:val="clear" w:color="000000" w:fill="FFFFFF"/>
            <w:noWrap/>
            <w:vAlign w:val="bottom"/>
            <w:hideMark/>
          </w:tcPr>
          <w:p w14:paraId="28F16373"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29.4%</w:t>
            </w:r>
          </w:p>
        </w:tc>
        <w:tc>
          <w:tcPr>
            <w:tcW w:w="1023" w:type="dxa"/>
            <w:tcBorders>
              <w:top w:val="nil"/>
              <w:left w:val="nil"/>
              <w:bottom w:val="nil"/>
              <w:right w:val="nil"/>
            </w:tcBorders>
            <w:shd w:val="clear" w:color="000000" w:fill="FFFFFF"/>
            <w:noWrap/>
            <w:vAlign w:val="bottom"/>
            <w:hideMark/>
          </w:tcPr>
          <w:p w14:paraId="4F80F9E2"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29.5%</w:t>
            </w:r>
          </w:p>
        </w:tc>
        <w:tc>
          <w:tcPr>
            <w:tcW w:w="1023" w:type="dxa"/>
            <w:tcBorders>
              <w:top w:val="nil"/>
              <w:left w:val="nil"/>
              <w:bottom w:val="nil"/>
              <w:right w:val="nil"/>
            </w:tcBorders>
            <w:shd w:val="clear" w:color="000000" w:fill="FFFFFF"/>
            <w:noWrap/>
            <w:vAlign w:val="bottom"/>
            <w:hideMark/>
          </w:tcPr>
          <w:p w14:paraId="21FF3B67"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29.6%</w:t>
            </w:r>
          </w:p>
        </w:tc>
        <w:tc>
          <w:tcPr>
            <w:tcW w:w="1023" w:type="dxa"/>
            <w:tcBorders>
              <w:top w:val="nil"/>
              <w:left w:val="nil"/>
              <w:bottom w:val="nil"/>
              <w:right w:val="nil"/>
            </w:tcBorders>
            <w:shd w:val="clear" w:color="000000" w:fill="FFFFFF"/>
            <w:noWrap/>
            <w:vAlign w:val="bottom"/>
            <w:hideMark/>
          </w:tcPr>
          <w:p w14:paraId="5796B243"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29.7%</w:t>
            </w:r>
          </w:p>
        </w:tc>
        <w:tc>
          <w:tcPr>
            <w:tcW w:w="1023" w:type="dxa"/>
            <w:tcBorders>
              <w:top w:val="nil"/>
              <w:left w:val="nil"/>
              <w:bottom w:val="nil"/>
              <w:right w:val="single" w:sz="8" w:space="0" w:color="auto"/>
            </w:tcBorders>
            <w:shd w:val="clear" w:color="000000" w:fill="FFFFFF"/>
            <w:noWrap/>
            <w:vAlign w:val="bottom"/>
            <w:hideMark/>
          </w:tcPr>
          <w:p w14:paraId="4B4197FE"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29.7%</w:t>
            </w:r>
          </w:p>
        </w:tc>
      </w:tr>
      <w:tr w:rsidR="0072086A" w:rsidRPr="0072086A" w14:paraId="4544F33D"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3A9F54AB"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Long-term Debt to Equity</w:t>
            </w:r>
          </w:p>
        </w:tc>
        <w:tc>
          <w:tcPr>
            <w:tcW w:w="1023" w:type="dxa"/>
            <w:tcBorders>
              <w:top w:val="nil"/>
              <w:left w:val="nil"/>
              <w:bottom w:val="nil"/>
              <w:right w:val="nil"/>
            </w:tcBorders>
            <w:shd w:val="clear" w:color="000000" w:fill="FFFFFF"/>
            <w:noWrap/>
            <w:vAlign w:val="bottom"/>
            <w:hideMark/>
          </w:tcPr>
          <w:p w14:paraId="0D7FFD10"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54.4%</w:t>
            </w:r>
          </w:p>
        </w:tc>
        <w:tc>
          <w:tcPr>
            <w:tcW w:w="1023" w:type="dxa"/>
            <w:tcBorders>
              <w:top w:val="nil"/>
              <w:left w:val="nil"/>
              <w:bottom w:val="nil"/>
              <w:right w:val="nil"/>
            </w:tcBorders>
            <w:shd w:val="clear" w:color="000000" w:fill="FFFFFF"/>
            <w:noWrap/>
            <w:vAlign w:val="bottom"/>
            <w:hideMark/>
          </w:tcPr>
          <w:p w14:paraId="021C1998"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58.2%</w:t>
            </w:r>
          </w:p>
        </w:tc>
        <w:tc>
          <w:tcPr>
            <w:tcW w:w="1023" w:type="dxa"/>
            <w:tcBorders>
              <w:top w:val="nil"/>
              <w:left w:val="nil"/>
              <w:bottom w:val="nil"/>
              <w:right w:val="nil"/>
            </w:tcBorders>
            <w:shd w:val="clear" w:color="000000" w:fill="FFFFFF"/>
            <w:noWrap/>
            <w:vAlign w:val="bottom"/>
            <w:hideMark/>
          </w:tcPr>
          <w:p w14:paraId="0B0E9A56"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54.6%</w:t>
            </w:r>
          </w:p>
        </w:tc>
        <w:tc>
          <w:tcPr>
            <w:tcW w:w="1023" w:type="dxa"/>
            <w:tcBorders>
              <w:top w:val="nil"/>
              <w:left w:val="nil"/>
              <w:bottom w:val="nil"/>
              <w:right w:val="nil"/>
            </w:tcBorders>
            <w:shd w:val="clear" w:color="000000" w:fill="FFFFFF"/>
            <w:noWrap/>
            <w:vAlign w:val="bottom"/>
            <w:hideMark/>
          </w:tcPr>
          <w:p w14:paraId="4A439EF9"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58.0%</w:t>
            </w:r>
          </w:p>
        </w:tc>
        <w:tc>
          <w:tcPr>
            <w:tcW w:w="1023" w:type="dxa"/>
            <w:tcBorders>
              <w:top w:val="nil"/>
              <w:left w:val="nil"/>
              <w:bottom w:val="nil"/>
              <w:right w:val="nil"/>
            </w:tcBorders>
            <w:shd w:val="clear" w:color="000000" w:fill="FFFFFF"/>
            <w:noWrap/>
            <w:vAlign w:val="bottom"/>
            <w:hideMark/>
          </w:tcPr>
          <w:p w14:paraId="1F369D1A"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59.3%</w:t>
            </w:r>
          </w:p>
        </w:tc>
        <w:tc>
          <w:tcPr>
            <w:tcW w:w="1023" w:type="dxa"/>
            <w:tcBorders>
              <w:top w:val="nil"/>
              <w:left w:val="nil"/>
              <w:bottom w:val="nil"/>
              <w:right w:val="nil"/>
            </w:tcBorders>
            <w:shd w:val="clear" w:color="000000" w:fill="FFFFFF"/>
            <w:noWrap/>
            <w:vAlign w:val="bottom"/>
            <w:hideMark/>
          </w:tcPr>
          <w:p w14:paraId="0D35B328"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60.2%</w:t>
            </w:r>
          </w:p>
        </w:tc>
        <w:tc>
          <w:tcPr>
            <w:tcW w:w="1023" w:type="dxa"/>
            <w:tcBorders>
              <w:top w:val="nil"/>
              <w:left w:val="nil"/>
              <w:bottom w:val="nil"/>
              <w:right w:val="nil"/>
            </w:tcBorders>
            <w:shd w:val="clear" w:color="000000" w:fill="FFFFFF"/>
            <w:noWrap/>
            <w:vAlign w:val="bottom"/>
            <w:hideMark/>
          </w:tcPr>
          <w:p w14:paraId="6026CEA9"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60.9%</w:t>
            </w:r>
          </w:p>
        </w:tc>
        <w:tc>
          <w:tcPr>
            <w:tcW w:w="1023" w:type="dxa"/>
            <w:tcBorders>
              <w:top w:val="nil"/>
              <w:left w:val="nil"/>
              <w:bottom w:val="nil"/>
              <w:right w:val="nil"/>
            </w:tcBorders>
            <w:shd w:val="clear" w:color="000000" w:fill="FFFFFF"/>
            <w:noWrap/>
            <w:vAlign w:val="bottom"/>
            <w:hideMark/>
          </w:tcPr>
          <w:p w14:paraId="4BD30E06"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61.3%</w:t>
            </w:r>
          </w:p>
        </w:tc>
        <w:tc>
          <w:tcPr>
            <w:tcW w:w="1023" w:type="dxa"/>
            <w:tcBorders>
              <w:top w:val="nil"/>
              <w:left w:val="nil"/>
              <w:bottom w:val="nil"/>
              <w:right w:val="single" w:sz="8" w:space="0" w:color="auto"/>
            </w:tcBorders>
            <w:shd w:val="clear" w:color="000000" w:fill="FFFFFF"/>
            <w:noWrap/>
            <w:vAlign w:val="bottom"/>
            <w:hideMark/>
          </w:tcPr>
          <w:p w14:paraId="7ACDD3D8"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61.4%</w:t>
            </w:r>
          </w:p>
        </w:tc>
      </w:tr>
      <w:tr w:rsidR="0072086A" w:rsidRPr="0072086A" w14:paraId="11C5B768" w14:textId="77777777" w:rsidTr="005F1FC9">
        <w:trPr>
          <w:trHeight w:val="266"/>
        </w:trPr>
        <w:tc>
          <w:tcPr>
            <w:tcW w:w="2458" w:type="dxa"/>
            <w:tcBorders>
              <w:top w:val="nil"/>
              <w:left w:val="single" w:sz="8" w:space="0" w:color="auto"/>
              <w:bottom w:val="nil"/>
              <w:right w:val="nil"/>
            </w:tcBorders>
            <w:shd w:val="clear" w:color="000000" w:fill="FFFFFF"/>
            <w:noWrap/>
            <w:vAlign w:val="bottom"/>
            <w:hideMark/>
          </w:tcPr>
          <w:p w14:paraId="0134490D" w14:textId="41CA642C" w:rsidR="0072086A" w:rsidRPr="0072086A" w:rsidRDefault="00A43D61" w:rsidP="0072086A">
            <w:pPr>
              <w:rPr>
                <w:rFonts w:ascii="Times New Roman" w:hAnsi="Times New Roman"/>
                <w:color w:val="000000"/>
                <w:lang w:val="en-CA" w:eastAsia="zh-CN"/>
              </w:rPr>
            </w:pPr>
            <w:r w:rsidRPr="0072086A">
              <w:rPr>
                <w:rFonts w:ascii="Times New Roman" w:hAnsi="Times New Roman"/>
                <w:color w:val="000000"/>
                <w:lang w:val="en-CA" w:eastAsia="zh-CN"/>
              </w:rPr>
              <w:t>Earnings</w:t>
            </w:r>
            <w:r w:rsidR="0072086A" w:rsidRPr="0072086A">
              <w:rPr>
                <w:rFonts w:ascii="Times New Roman" w:hAnsi="Times New Roman"/>
                <w:color w:val="000000"/>
                <w:lang w:val="en-CA" w:eastAsia="zh-CN"/>
              </w:rPr>
              <w:t xml:space="preserve"> per Share</w:t>
            </w:r>
          </w:p>
        </w:tc>
        <w:tc>
          <w:tcPr>
            <w:tcW w:w="1023" w:type="dxa"/>
            <w:tcBorders>
              <w:top w:val="nil"/>
              <w:left w:val="nil"/>
              <w:bottom w:val="nil"/>
              <w:right w:val="nil"/>
            </w:tcBorders>
            <w:shd w:val="clear" w:color="000000" w:fill="FFFFFF"/>
            <w:noWrap/>
            <w:vAlign w:val="bottom"/>
            <w:hideMark/>
          </w:tcPr>
          <w:p w14:paraId="4DE31BB0"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      0.41 </w:t>
            </w:r>
          </w:p>
        </w:tc>
        <w:tc>
          <w:tcPr>
            <w:tcW w:w="1023" w:type="dxa"/>
            <w:tcBorders>
              <w:top w:val="nil"/>
              <w:left w:val="nil"/>
              <w:bottom w:val="nil"/>
              <w:right w:val="nil"/>
            </w:tcBorders>
            <w:shd w:val="clear" w:color="000000" w:fill="FFFFFF"/>
            <w:noWrap/>
            <w:vAlign w:val="bottom"/>
            <w:hideMark/>
          </w:tcPr>
          <w:p w14:paraId="1CAA0FF9"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      0.37 </w:t>
            </w:r>
          </w:p>
        </w:tc>
        <w:tc>
          <w:tcPr>
            <w:tcW w:w="1023" w:type="dxa"/>
            <w:tcBorders>
              <w:top w:val="nil"/>
              <w:left w:val="nil"/>
              <w:bottom w:val="nil"/>
              <w:right w:val="nil"/>
            </w:tcBorders>
            <w:shd w:val="clear" w:color="000000" w:fill="FFFFFF"/>
            <w:noWrap/>
            <w:vAlign w:val="bottom"/>
            <w:hideMark/>
          </w:tcPr>
          <w:p w14:paraId="43338B04"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      0.47 </w:t>
            </w:r>
          </w:p>
        </w:tc>
        <w:tc>
          <w:tcPr>
            <w:tcW w:w="1023" w:type="dxa"/>
            <w:tcBorders>
              <w:top w:val="nil"/>
              <w:left w:val="nil"/>
              <w:bottom w:val="nil"/>
              <w:right w:val="nil"/>
            </w:tcBorders>
            <w:shd w:val="clear" w:color="000000" w:fill="FFFFFF"/>
            <w:noWrap/>
            <w:vAlign w:val="bottom"/>
            <w:hideMark/>
          </w:tcPr>
          <w:p w14:paraId="2B68DDD7"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      0.54 </w:t>
            </w:r>
          </w:p>
        </w:tc>
        <w:tc>
          <w:tcPr>
            <w:tcW w:w="1023" w:type="dxa"/>
            <w:tcBorders>
              <w:top w:val="nil"/>
              <w:left w:val="nil"/>
              <w:bottom w:val="nil"/>
              <w:right w:val="nil"/>
            </w:tcBorders>
            <w:shd w:val="clear" w:color="000000" w:fill="FFFFFF"/>
            <w:noWrap/>
            <w:vAlign w:val="bottom"/>
            <w:hideMark/>
          </w:tcPr>
          <w:p w14:paraId="71133C39"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      0.75 </w:t>
            </w:r>
          </w:p>
        </w:tc>
        <w:tc>
          <w:tcPr>
            <w:tcW w:w="1023" w:type="dxa"/>
            <w:tcBorders>
              <w:top w:val="nil"/>
              <w:left w:val="nil"/>
              <w:bottom w:val="nil"/>
              <w:right w:val="nil"/>
            </w:tcBorders>
            <w:shd w:val="clear" w:color="000000" w:fill="FFFFFF"/>
            <w:noWrap/>
            <w:vAlign w:val="bottom"/>
            <w:hideMark/>
          </w:tcPr>
          <w:p w14:paraId="09FA3C9D"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      0.81 </w:t>
            </w:r>
          </w:p>
        </w:tc>
        <w:tc>
          <w:tcPr>
            <w:tcW w:w="1023" w:type="dxa"/>
            <w:tcBorders>
              <w:top w:val="nil"/>
              <w:left w:val="nil"/>
              <w:bottom w:val="nil"/>
              <w:right w:val="nil"/>
            </w:tcBorders>
            <w:shd w:val="clear" w:color="000000" w:fill="FFFFFF"/>
            <w:noWrap/>
            <w:vAlign w:val="bottom"/>
            <w:hideMark/>
          </w:tcPr>
          <w:p w14:paraId="5FF407B5"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      0.86 </w:t>
            </w:r>
          </w:p>
        </w:tc>
        <w:tc>
          <w:tcPr>
            <w:tcW w:w="1023" w:type="dxa"/>
            <w:tcBorders>
              <w:top w:val="nil"/>
              <w:left w:val="nil"/>
              <w:bottom w:val="nil"/>
              <w:right w:val="nil"/>
            </w:tcBorders>
            <w:shd w:val="clear" w:color="000000" w:fill="FFFFFF"/>
            <w:noWrap/>
            <w:vAlign w:val="bottom"/>
            <w:hideMark/>
          </w:tcPr>
          <w:p w14:paraId="2FD89F32"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      0.91 </w:t>
            </w:r>
          </w:p>
        </w:tc>
        <w:tc>
          <w:tcPr>
            <w:tcW w:w="1023" w:type="dxa"/>
            <w:tcBorders>
              <w:top w:val="nil"/>
              <w:left w:val="nil"/>
              <w:bottom w:val="nil"/>
              <w:right w:val="single" w:sz="8" w:space="0" w:color="auto"/>
            </w:tcBorders>
            <w:shd w:val="clear" w:color="000000" w:fill="FFFFFF"/>
            <w:noWrap/>
            <w:vAlign w:val="bottom"/>
            <w:hideMark/>
          </w:tcPr>
          <w:p w14:paraId="245FFEFB"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 xml:space="preserve"> $      0.95 </w:t>
            </w:r>
          </w:p>
        </w:tc>
      </w:tr>
      <w:tr w:rsidR="0072086A" w:rsidRPr="0072086A" w14:paraId="4E8787CF" w14:textId="77777777" w:rsidTr="005F1FC9">
        <w:trPr>
          <w:trHeight w:val="279"/>
        </w:trPr>
        <w:tc>
          <w:tcPr>
            <w:tcW w:w="2458" w:type="dxa"/>
            <w:tcBorders>
              <w:top w:val="nil"/>
              <w:left w:val="single" w:sz="8" w:space="0" w:color="auto"/>
              <w:bottom w:val="nil"/>
              <w:right w:val="nil"/>
            </w:tcBorders>
            <w:shd w:val="clear" w:color="000000" w:fill="FFFFFF"/>
            <w:noWrap/>
            <w:vAlign w:val="bottom"/>
            <w:hideMark/>
          </w:tcPr>
          <w:p w14:paraId="6919CA8C" w14:textId="77777777" w:rsidR="0072086A" w:rsidRPr="0072086A" w:rsidRDefault="0072086A" w:rsidP="0072086A">
            <w:pPr>
              <w:rPr>
                <w:rFonts w:ascii="Times New Roman" w:hAnsi="Times New Roman"/>
                <w:color w:val="000000"/>
                <w:lang w:val="en-CA" w:eastAsia="zh-CN"/>
              </w:rPr>
            </w:pPr>
            <w:r w:rsidRPr="0072086A">
              <w:rPr>
                <w:rFonts w:ascii="Times New Roman" w:hAnsi="Times New Roman"/>
                <w:color w:val="000000"/>
                <w:lang w:val="en-CA" w:eastAsia="zh-CN"/>
              </w:rPr>
              <w:t>Dividend Payout Ratio</w:t>
            </w:r>
          </w:p>
        </w:tc>
        <w:tc>
          <w:tcPr>
            <w:tcW w:w="1023" w:type="dxa"/>
            <w:tcBorders>
              <w:top w:val="nil"/>
              <w:left w:val="nil"/>
              <w:bottom w:val="nil"/>
              <w:right w:val="nil"/>
            </w:tcBorders>
            <w:shd w:val="clear" w:color="000000" w:fill="FFFFFF"/>
            <w:noWrap/>
            <w:vAlign w:val="bottom"/>
            <w:hideMark/>
          </w:tcPr>
          <w:p w14:paraId="1D7C5ECA"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237.8%</w:t>
            </w:r>
          </w:p>
        </w:tc>
        <w:tc>
          <w:tcPr>
            <w:tcW w:w="1023" w:type="dxa"/>
            <w:tcBorders>
              <w:top w:val="nil"/>
              <w:left w:val="nil"/>
              <w:bottom w:val="nil"/>
              <w:right w:val="nil"/>
            </w:tcBorders>
            <w:shd w:val="clear" w:color="000000" w:fill="FFFFFF"/>
            <w:noWrap/>
            <w:vAlign w:val="bottom"/>
            <w:hideMark/>
          </w:tcPr>
          <w:p w14:paraId="474D1D82"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263.2%</w:t>
            </w:r>
          </w:p>
        </w:tc>
        <w:tc>
          <w:tcPr>
            <w:tcW w:w="1023" w:type="dxa"/>
            <w:tcBorders>
              <w:top w:val="nil"/>
              <w:left w:val="nil"/>
              <w:bottom w:val="nil"/>
              <w:right w:val="nil"/>
            </w:tcBorders>
            <w:shd w:val="clear" w:color="000000" w:fill="FFFFFF"/>
            <w:noWrap/>
            <w:vAlign w:val="bottom"/>
            <w:hideMark/>
          </w:tcPr>
          <w:p w14:paraId="7471F1EB"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207.5%</w:t>
            </w:r>
          </w:p>
        </w:tc>
        <w:tc>
          <w:tcPr>
            <w:tcW w:w="1023" w:type="dxa"/>
            <w:tcBorders>
              <w:top w:val="nil"/>
              <w:left w:val="nil"/>
              <w:bottom w:val="nil"/>
              <w:right w:val="nil"/>
            </w:tcBorders>
            <w:shd w:val="clear" w:color="000000" w:fill="FFFFFF"/>
            <w:noWrap/>
            <w:vAlign w:val="bottom"/>
            <w:hideMark/>
          </w:tcPr>
          <w:p w14:paraId="525AC193"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180.6%</w:t>
            </w:r>
          </w:p>
        </w:tc>
        <w:tc>
          <w:tcPr>
            <w:tcW w:w="1023" w:type="dxa"/>
            <w:tcBorders>
              <w:top w:val="nil"/>
              <w:left w:val="nil"/>
              <w:bottom w:val="nil"/>
              <w:right w:val="nil"/>
            </w:tcBorders>
            <w:shd w:val="clear" w:color="000000" w:fill="FFFFFF"/>
            <w:noWrap/>
            <w:vAlign w:val="bottom"/>
            <w:hideMark/>
          </w:tcPr>
          <w:p w14:paraId="7EC11252"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129.5%</w:t>
            </w:r>
          </w:p>
        </w:tc>
        <w:tc>
          <w:tcPr>
            <w:tcW w:w="1023" w:type="dxa"/>
            <w:tcBorders>
              <w:top w:val="nil"/>
              <w:left w:val="nil"/>
              <w:bottom w:val="nil"/>
              <w:right w:val="nil"/>
            </w:tcBorders>
            <w:shd w:val="clear" w:color="000000" w:fill="FFFFFF"/>
            <w:noWrap/>
            <w:vAlign w:val="bottom"/>
            <w:hideMark/>
          </w:tcPr>
          <w:p w14:paraId="4FE8BF89"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119.8%</w:t>
            </w:r>
          </w:p>
        </w:tc>
        <w:tc>
          <w:tcPr>
            <w:tcW w:w="1023" w:type="dxa"/>
            <w:tcBorders>
              <w:top w:val="nil"/>
              <w:left w:val="nil"/>
              <w:bottom w:val="nil"/>
              <w:right w:val="nil"/>
            </w:tcBorders>
            <w:shd w:val="clear" w:color="000000" w:fill="FFFFFF"/>
            <w:noWrap/>
            <w:vAlign w:val="bottom"/>
            <w:hideMark/>
          </w:tcPr>
          <w:p w14:paraId="2F08CC67"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112.9%</w:t>
            </w:r>
          </w:p>
        </w:tc>
        <w:tc>
          <w:tcPr>
            <w:tcW w:w="1023" w:type="dxa"/>
            <w:tcBorders>
              <w:top w:val="nil"/>
              <w:left w:val="nil"/>
              <w:bottom w:val="nil"/>
              <w:right w:val="nil"/>
            </w:tcBorders>
            <w:shd w:val="clear" w:color="000000" w:fill="FFFFFF"/>
            <w:noWrap/>
            <w:vAlign w:val="bottom"/>
            <w:hideMark/>
          </w:tcPr>
          <w:p w14:paraId="7F9658E4"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107.3%</w:t>
            </w:r>
          </w:p>
        </w:tc>
        <w:tc>
          <w:tcPr>
            <w:tcW w:w="1023" w:type="dxa"/>
            <w:tcBorders>
              <w:top w:val="nil"/>
              <w:left w:val="nil"/>
              <w:bottom w:val="nil"/>
              <w:right w:val="single" w:sz="8" w:space="0" w:color="auto"/>
            </w:tcBorders>
            <w:shd w:val="clear" w:color="000000" w:fill="FFFFFF"/>
            <w:noWrap/>
            <w:vAlign w:val="bottom"/>
            <w:hideMark/>
          </w:tcPr>
          <w:p w14:paraId="45DD1BFD" w14:textId="77777777" w:rsidR="0072086A" w:rsidRPr="0072086A" w:rsidRDefault="0072086A" w:rsidP="0072086A">
            <w:pPr>
              <w:jc w:val="right"/>
              <w:rPr>
                <w:rFonts w:ascii="Times New Roman" w:hAnsi="Times New Roman"/>
                <w:color w:val="000000"/>
                <w:lang w:val="en-CA" w:eastAsia="zh-CN"/>
              </w:rPr>
            </w:pPr>
            <w:r w:rsidRPr="0072086A">
              <w:rPr>
                <w:rFonts w:ascii="Times New Roman" w:hAnsi="Times New Roman"/>
                <w:color w:val="000000"/>
                <w:lang w:val="en-CA" w:eastAsia="zh-CN"/>
              </w:rPr>
              <w:t>102.8%</w:t>
            </w:r>
          </w:p>
        </w:tc>
      </w:tr>
      <w:tr w:rsidR="001B68DC" w:rsidRPr="0072086A" w14:paraId="3B9A4279" w14:textId="77777777" w:rsidTr="005F1FC9">
        <w:trPr>
          <w:trHeight w:val="279"/>
        </w:trPr>
        <w:tc>
          <w:tcPr>
            <w:tcW w:w="2458" w:type="dxa"/>
            <w:tcBorders>
              <w:top w:val="nil"/>
              <w:left w:val="single" w:sz="8" w:space="0" w:color="auto"/>
              <w:bottom w:val="nil"/>
              <w:right w:val="nil"/>
            </w:tcBorders>
            <w:shd w:val="clear" w:color="000000" w:fill="FFFFFF"/>
            <w:noWrap/>
            <w:vAlign w:val="bottom"/>
          </w:tcPr>
          <w:p w14:paraId="72FF732C" w14:textId="27F50143" w:rsidR="001B68DC" w:rsidRPr="0072086A" w:rsidRDefault="001B68DC" w:rsidP="0072086A">
            <w:pPr>
              <w:rPr>
                <w:rFonts w:ascii="Times New Roman" w:hAnsi="Times New Roman"/>
                <w:color w:val="000000"/>
                <w:lang w:val="en-CA" w:eastAsia="zh-CN"/>
              </w:rPr>
            </w:pPr>
            <w:r>
              <w:rPr>
                <w:rFonts w:ascii="Times New Roman" w:hAnsi="Times New Roman"/>
                <w:color w:val="000000"/>
                <w:lang w:val="en-CA" w:eastAsia="zh-CN"/>
              </w:rPr>
              <w:t>Interest Coverage Ratio</w:t>
            </w:r>
          </w:p>
        </w:tc>
        <w:tc>
          <w:tcPr>
            <w:tcW w:w="1023" w:type="dxa"/>
            <w:tcBorders>
              <w:top w:val="nil"/>
              <w:left w:val="nil"/>
              <w:bottom w:val="nil"/>
              <w:right w:val="nil"/>
            </w:tcBorders>
            <w:shd w:val="clear" w:color="000000" w:fill="FFFFFF"/>
            <w:noWrap/>
            <w:vAlign w:val="bottom"/>
          </w:tcPr>
          <w:p w14:paraId="4CF2579E" w14:textId="7D3E30FE" w:rsidR="001B68DC" w:rsidRPr="0072086A" w:rsidRDefault="001B68DC" w:rsidP="0072086A">
            <w:pPr>
              <w:jc w:val="right"/>
              <w:rPr>
                <w:rFonts w:ascii="Times New Roman" w:hAnsi="Times New Roman"/>
                <w:color w:val="000000"/>
                <w:lang w:val="en-CA" w:eastAsia="zh-CN"/>
              </w:rPr>
            </w:pPr>
            <w:r>
              <w:rPr>
                <w:rFonts w:ascii="Times New Roman" w:hAnsi="Times New Roman"/>
                <w:color w:val="000000"/>
                <w:lang w:val="en-CA" w:eastAsia="zh-CN"/>
              </w:rPr>
              <w:t>2.66</w:t>
            </w:r>
          </w:p>
        </w:tc>
        <w:tc>
          <w:tcPr>
            <w:tcW w:w="1023" w:type="dxa"/>
            <w:tcBorders>
              <w:top w:val="nil"/>
              <w:left w:val="nil"/>
              <w:bottom w:val="nil"/>
              <w:right w:val="nil"/>
            </w:tcBorders>
            <w:shd w:val="clear" w:color="000000" w:fill="FFFFFF"/>
            <w:noWrap/>
            <w:vAlign w:val="bottom"/>
          </w:tcPr>
          <w:p w14:paraId="08183353" w14:textId="55EA6F51" w:rsidR="001B68DC" w:rsidRPr="0072086A" w:rsidRDefault="001B68DC" w:rsidP="0072086A">
            <w:pPr>
              <w:jc w:val="right"/>
              <w:rPr>
                <w:rFonts w:ascii="Times New Roman" w:hAnsi="Times New Roman"/>
                <w:color w:val="000000"/>
                <w:lang w:val="en-CA" w:eastAsia="zh-CN"/>
              </w:rPr>
            </w:pPr>
            <w:r>
              <w:rPr>
                <w:rFonts w:ascii="Times New Roman" w:hAnsi="Times New Roman"/>
                <w:color w:val="000000"/>
                <w:lang w:val="en-CA" w:eastAsia="zh-CN"/>
              </w:rPr>
              <w:t>2.76</w:t>
            </w:r>
          </w:p>
        </w:tc>
        <w:tc>
          <w:tcPr>
            <w:tcW w:w="1023" w:type="dxa"/>
            <w:tcBorders>
              <w:top w:val="nil"/>
              <w:left w:val="nil"/>
              <w:bottom w:val="nil"/>
              <w:right w:val="nil"/>
            </w:tcBorders>
            <w:shd w:val="clear" w:color="000000" w:fill="FFFFFF"/>
            <w:noWrap/>
            <w:vAlign w:val="bottom"/>
          </w:tcPr>
          <w:p w14:paraId="2375B259" w14:textId="1DBD57C3" w:rsidR="001B68DC" w:rsidRPr="0072086A" w:rsidRDefault="001B68DC" w:rsidP="0072086A">
            <w:pPr>
              <w:jc w:val="right"/>
              <w:rPr>
                <w:rFonts w:ascii="Times New Roman" w:hAnsi="Times New Roman"/>
                <w:color w:val="000000"/>
                <w:lang w:val="en-CA" w:eastAsia="zh-CN"/>
              </w:rPr>
            </w:pPr>
            <w:r>
              <w:rPr>
                <w:rFonts w:ascii="Times New Roman" w:hAnsi="Times New Roman"/>
                <w:color w:val="000000"/>
                <w:lang w:val="en-CA" w:eastAsia="zh-CN"/>
              </w:rPr>
              <w:t>2.77</w:t>
            </w:r>
          </w:p>
        </w:tc>
        <w:tc>
          <w:tcPr>
            <w:tcW w:w="1023" w:type="dxa"/>
            <w:tcBorders>
              <w:top w:val="nil"/>
              <w:left w:val="nil"/>
              <w:bottom w:val="nil"/>
              <w:right w:val="nil"/>
            </w:tcBorders>
            <w:shd w:val="clear" w:color="000000" w:fill="FFFFFF"/>
            <w:noWrap/>
            <w:vAlign w:val="bottom"/>
          </w:tcPr>
          <w:p w14:paraId="7547C6D6" w14:textId="03DC8572" w:rsidR="001B68DC" w:rsidRPr="0072086A" w:rsidRDefault="001B68DC" w:rsidP="0072086A">
            <w:pPr>
              <w:jc w:val="right"/>
              <w:rPr>
                <w:rFonts w:ascii="Times New Roman" w:hAnsi="Times New Roman"/>
                <w:color w:val="000000"/>
                <w:lang w:val="en-CA" w:eastAsia="zh-CN"/>
              </w:rPr>
            </w:pPr>
            <w:r>
              <w:rPr>
                <w:rFonts w:ascii="Times New Roman" w:hAnsi="Times New Roman"/>
                <w:color w:val="000000"/>
                <w:lang w:val="en-CA" w:eastAsia="zh-CN"/>
              </w:rPr>
              <w:t>4.25</w:t>
            </w:r>
          </w:p>
        </w:tc>
        <w:tc>
          <w:tcPr>
            <w:tcW w:w="1023" w:type="dxa"/>
            <w:tcBorders>
              <w:top w:val="nil"/>
              <w:left w:val="nil"/>
              <w:bottom w:val="nil"/>
              <w:right w:val="nil"/>
            </w:tcBorders>
            <w:shd w:val="clear" w:color="000000" w:fill="FFFFFF"/>
            <w:noWrap/>
            <w:vAlign w:val="bottom"/>
          </w:tcPr>
          <w:p w14:paraId="5DA3FD05" w14:textId="3DF82355" w:rsidR="001B68DC" w:rsidRPr="0072086A" w:rsidRDefault="001B68DC" w:rsidP="0072086A">
            <w:pPr>
              <w:jc w:val="right"/>
              <w:rPr>
                <w:rFonts w:ascii="Times New Roman" w:hAnsi="Times New Roman"/>
                <w:color w:val="000000"/>
                <w:lang w:val="en-CA" w:eastAsia="zh-CN"/>
              </w:rPr>
            </w:pPr>
            <w:r>
              <w:rPr>
                <w:rFonts w:ascii="Times New Roman" w:hAnsi="Times New Roman"/>
                <w:color w:val="000000"/>
                <w:lang w:val="en-CA" w:eastAsia="zh-CN"/>
              </w:rPr>
              <w:t>7.42</w:t>
            </w:r>
          </w:p>
        </w:tc>
        <w:tc>
          <w:tcPr>
            <w:tcW w:w="1023" w:type="dxa"/>
            <w:tcBorders>
              <w:top w:val="nil"/>
              <w:left w:val="nil"/>
              <w:bottom w:val="nil"/>
              <w:right w:val="nil"/>
            </w:tcBorders>
            <w:shd w:val="clear" w:color="000000" w:fill="FFFFFF"/>
            <w:noWrap/>
            <w:vAlign w:val="bottom"/>
          </w:tcPr>
          <w:p w14:paraId="772E9DA0" w14:textId="73704134" w:rsidR="001B68DC" w:rsidRPr="0072086A" w:rsidRDefault="001B68DC" w:rsidP="0072086A">
            <w:pPr>
              <w:jc w:val="right"/>
              <w:rPr>
                <w:rFonts w:ascii="Times New Roman" w:hAnsi="Times New Roman"/>
                <w:color w:val="000000"/>
                <w:lang w:val="en-CA" w:eastAsia="zh-CN"/>
              </w:rPr>
            </w:pPr>
            <w:r>
              <w:rPr>
                <w:rFonts w:ascii="Times New Roman" w:hAnsi="Times New Roman"/>
                <w:color w:val="000000"/>
                <w:lang w:val="en-CA" w:eastAsia="zh-CN"/>
              </w:rPr>
              <w:t>7.89</w:t>
            </w:r>
          </w:p>
        </w:tc>
        <w:tc>
          <w:tcPr>
            <w:tcW w:w="1023" w:type="dxa"/>
            <w:tcBorders>
              <w:top w:val="nil"/>
              <w:left w:val="nil"/>
              <w:bottom w:val="nil"/>
              <w:right w:val="nil"/>
            </w:tcBorders>
            <w:shd w:val="clear" w:color="000000" w:fill="FFFFFF"/>
            <w:noWrap/>
            <w:vAlign w:val="bottom"/>
          </w:tcPr>
          <w:p w14:paraId="52620A25" w14:textId="3482531D" w:rsidR="001B68DC" w:rsidRPr="0072086A" w:rsidRDefault="001B68DC" w:rsidP="0072086A">
            <w:pPr>
              <w:jc w:val="right"/>
              <w:rPr>
                <w:rFonts w:ascii="Times New Roman" w:hAnsi="Times New Roman"/>
                <w:color w:val="000000"/>
                <w:lang w:val="en-CA" w:eastAsia="zh-CN"/>
              </w:rPr>
            </w:pPr>
            <w:r>
              <w:rPr>
                <w:rFonts w:ascii="Times New Roman" w:hAnsi="Times New Roman"/>
                <w:color w:val="000000"/>
                <w:lang w:val="en-CA" w:eastAsia="zh-CN"/>
              </w:rPr>
              <w:t>8.27</w:t>
            </w:r>
          </w:p>
        </w:tc>
        <w:tc>
          <w:tcPr>
            <w:tcW w:w="1023" w:type="dxa"/>
            <w:tcBorders>
              <w:top w:val="nil"/>
              <w:left w:val="nil"/>
              <w:bottom w:val="nil"/>
              <w:right w:val="nil"/>
            </w:tcBorders>
            <w:shd w:val="clear" w:color="000000" w:fill="FFFFFF"/>
            <w:noWrap/>
            <w:vAlign w:val="bottom"/>
          </w:tcPr>
          <w:p w14:paraId="162C1392" w14:textId="06BB56AE" w:rsidR="001B68DC" w:rsidRPr="0072086A" w:rsidRDefault="001B68DC" w:rsidP="0072086A">
            <w:pPr>
              <w:jc w:val="right"/>
              <w:rPr>
                <w:rFonts w:ascii="Times New Roman" w:hAnsi="Times New Roman"/>
                <w:color w:val="000000"/>
                <w:lang w:val="en-CA" w:eastAsia="zh-CN"/>
              </w:rPr>
            </w:pPr>
            <w:r>
              <w:rPr>
                <w:rFonts w:ascii="Times New Roman" w:hAnsi="Times New Roman"/>
                <w:color w:val="000000"/>
                <w:lang w:val="en-CA" w:eastAsia="zh-CN"/>
              </w:rPr>
              <w:t>8.61</w:t>
            </w:r>
          </w:p>
        </w:tc>
        <w:tc>
          <w:tcPr>
            <w:tcW w:w="1023" w:type="dxa"/>
            <w:tcBorders>
              <w:top w:val="nil"/>
              <w:left w:val="nil"/>
              <w:bottom w:val="nil"/>
              <w:right w:val="single" w:sz="8" w:space="0" w:color="auto"/>
            </w:tcBorders>
            <w:shd w:val="clear" w:color="000000" w:fill="FFFFFF"/>
            <w:noWrap/>
            <w:vAlign w:val="bottom"/>
          </w:tcPr>
          <w:p w14:paraId="33F7919F" w14:textId="5BF90E34" w:rsidR="001B68DC" w:rsidRPr="0072086A" w:rsidRDefault="001B68DC" w:rsidP="0072086A">
            <w:pPr>
              <w:jc w:val="right"/>
              <w:rPr>
                <w:rFonts w:ascii="Times New Roman" w:hAnsi="Times New Roman"/>
                <w:color w:val="000000"/>
                <w:lang w:val="en-CA" w:eastAsia="zh-CN"/>
              </w:rPr>
            </w:pPr>
            <w:r>
              <w:rPr>
                <w:rFonts w:ascii="Times New Roman" w:hAnsi="Times New Roman"/>
                <w:color w:val="000000"/>
                <w:lang w:val="en-CA" w:eastAsia="zh-CN"/>
              </w:rPr>
              <w:t>8.92</w:t>
            </w:r>
          </w:p>
        </w:tc>
      </w:tr>
      <w:tr w:rsidR="009758AC" w:rsidRPr="0072086A" w14:paraId="0B79126D" w14:textId="77777777" w:rsidTr="005F1FC9">
        <w:trPr>
          <w:trHeight w:val="279"/>
        </w:trPr>
        <w:tc>
          <w:tcPr>
            <w:tcW w:w="2458" w:type="dxa"/>
            <w:tcBorders>
              <w:top w:val="nil"/>
              <w:left w:val="single" w:sz="8" w:space="0" w:color="auto"/>
              <w:bottom w:val="single" w:sz="8" w:space="0" w:color="auto"/>
              <w:right w:val="nil"/>
            </w:tcBorders>
            <w:shd w:val="clear" w:color="000000" w:fill="FFFFFF"/>
            <w:noWrap/>
            <w:vAlign w:val="bottom"/>
          </w:tcPr>
          <w:p w14:paraId="049B9E59" w14:textId="712708FA" w:rsidR="009758AC" w:rsidRDefault="00AF5D65" w:rsidP="0072086A">
            <w:pPr>
              <w:rPr>
                <w:rFonts w:ascii="Times New Roman" w:hAnsi="Times New Roman"/>
                <w:color w:val="000000"/>
                <w:lang w:val="en-CA" w:eastAsia="zh-CN"/>
              </w:rPr>
            </w:pPr>
            <w:r>
              <w:rPr>
                <w:noProof/>
                <w:lang w:val="en-CA" w:eastAsia="en-CA"/>
              </w:rPr>
              <w:drawing>
                <wp:anchor distT="0" distB="0" distL="114300" distR="114300" simplePos="0" relativeHeight="251668992" behindDoc="1" locked="0" layoutInCell="1" allowOverlap="1" wp14:anchorId="524D7C81" wp14:editId="420FE9BE">
                  <wp:simplePos x="0" y="0"/>
                  <wp:positionH relativeFrom="page">
                    <wp:posOffset>-134620</wp:posOffset>
                  </wp:positionH>
                  <wp:positionV relativeFrom="paragraph">
                    <wp:posOffset>62230</wp:posOffset>
                  </wp:positionV>
                  <wp:extent cx="1704975" cy="2419350"/>
                  <wp:effectExtent l="0" t="0" r="0" b="0"/>
                  <wp:wrapNone/>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9758AC">
              <w:rPr>
                <w:rFonts w:ascii="Times New Roman" w:hAnsi="Times New Roman"/>
                <w:color w:val="000000"/>
                <w:lang w:val="en-CA" w:eastAsia="zh-CN"/>
              </w:rPr>
              <w:t>Financial Leverage Degree</w:t>
            </w:r>
          </w:p>
        </w:tc>
        <w:tc>
          <w:tcPr>
            <w:tcW w:w="1023" w:type="dxa"/>
            <w:tcBorders>
              <w:top w:val="nil"/>
              <w:left w:val="nil"/>
              <w:bottom w:val="single" w:sz="8" w:space="0" w:color="auto"/>
              <w:right w:val="nil"/>
            </w:tcBorders>
            <w:shd w:val="clear" w:color="000000" w:fill="FFFFFF"/>
            <w:noWrap/>
            <w:vAlign w:val="bottom"/>
          </w:tcPr>
          <w:p w14:paraId="61166192" w14:textId="4139CD2E" w:rsidR="009758AC" w:rsidRDefault="009758AC" w:rsidP="0072086A">
            <w:pPr>
              <w:jc w:val="right"/>
              <w:rPr>
                <w:rFonts w:ascii="Times New Roman" w:hAnsi="Times New Roman"/>
                <w:color w:val="000000"/>
                <w:lang w:val="en-CA" w:eastAsia="zh-CN"/>
              </w:rPr>
            </w:pPr>
            <w:r>
              <w:rPr>
                <w:rFonts w:ascii="Times New Roman" w:hAnsi="Times New Roman"/>
                <w:color w:val="000000"/>
                <w:lang w:val="en-CA" w:eastAsia="zh-CN"/>
              </w:rPr>
              <w:t>1.60</w:t>
            </w:r>
          </w:p>
        </w:tc>
        <w:tc>
          <w:tcPr>
            <w:tcW w:w="1023" w:type="dxa"/>
            <w:tcBorders>
              <w:top w:val="nil"/>
              <w:left w:val="nil"/>
              <w:bottom w:val="single" w:sz="8" w:space="0" w:color="auto"/>
              <w:right w:val="nil"/>
            </w:tcBorders>
            <w:shd w:val="clear" w:color="000000" w:fill="FFFFFF"/>
            <w:noWrap/>
            <w:vAlign w:val="bottom"/>
          </w:tcPr>
          <w:p w14:paraId="32AA0272" w14:textId="61813BBF" w:rsidR="009758AC" w:rsidRDefault="009758AC" w:rsidP="0072086A">
            <w:pPr>
              <w:jc w:val="right"/>
              <w:rPr>
                <w:rFonts w:ascii="Times New Roman" w:hAnsi="Times New Roman"/>
                <w:color w:val="000000"/>
                <w:lang w:val="en-CA" w:eastAsia="zh-CN"/>
              </w:rPr>
            </w:pPr>
            <w:r>
              <w:rPr>
                <w:rFonts w:ascii="Times New Roman" w:hAnsi="Times New Roman"/>
                <w:color w:val="000000"/>
                <w:lang w:val="en-CA" w:eastAsia="zh-CN"/>
              </w:rPr>
              <w:t>1.57</w:t>
            </w:r>
          </w:p>
        </w:tc>
        <w:tc>
          <w:tcPr>
            <w:tcW w:w="1023" w:type="dxa"/>
            <w:tcBorders>
              <w:top w:val="nil"/>
              <w:left w:val="nil"/>
              <w:bottom w:val="single" w:sz="8" w:space="0" w:color="auto"/>
              <w:right w:val="nil"/>
            </w:tcBorders>
            <w:shd w:val="clear" w:color="000000" w:fill="FFFFFF"/>
            <w:noWrap/>
            <w:vAlign w:val="bottom"/>
          </w:tcPr>
          <w:p w14:paraId="3F2C922D" w14:textId="35DDE6A7" w:rsidR="009758AC" w:rsidRDefault="009758AC" w:rsidP="0072086A">
            <w:pPr>
              <w:jc w:val="right"/>
              <w:rPr>
                <w:rFonts w:ascii="Times New Roman" w:hAnsi="Times New Roman"/>
                <w:color w:val="000000"/>
                <w:lang w:val="en-CA" w:eastAsia="zh-CN"/>
              </w:rPr>
            </w:pPr>
            <w:r>
              <w:rPr>
                <w:rFonts w:ascii="Times New Roman" w:hAnsi="Times New Roman"/>
                <w:color w:val="000000"/>
                <w:lang w:val="en-CA" w:eastAsia="zh-CN"/>
              </w:rPr>
              <w:t>1.57</w:t>
            </w:r>
          </w:p>
        </w:tc>
        <w:tc>
          <w:tcPr>
            <w:tcW w:w="1023" w:type="dxa"/>
            <w:tcBorders>
              <w:top w:val="nil"/>
              <w:left w:val="nil"/>
              <w:bottom w:val="single" w:sz="8" w:space="0" w:color="auto"/>
              <w:right w:val="nil"/>
            </w:tcBorders>
            <w:shd w:val="clear" w:color="000000" w:fill="FFFFFF"/>
            <w:noWrap/>
            <w:vAlign w:val="bottom"/>
          </w:tcPr>
          <w:p w14:paraId="2BF09C1E" w14:textId="1CE66D76" w:rsidR="009758AC" w:rsidRDefault="009758AC" w:rsidP="0072086A">
            <w:pPr>
              <w:jc w:val="right"/>
              <w:rPr>
                <w:rFonts w:ascii="Times New Roman" w:hAnsi="Times New Roman"/>
                <w:color w:val="000000"/>
                <w:lang w:val="en-CA" w:eastAsia="zh-CN"/>
              </w:rPr>
            </w:pPr>
            <w:r>
              <w:rPr>
                <w:rFonts w:ascii="Times New Roman" w:hAnsi="Times New Roman"/>
                <w:color w:val="000000"/>
                <w:lang w:val="en-CA" w:eastAsia="zh-CN"/>
              </w:rPr>
              <w:t>1.31</w:t>
            </w:r>
          </w:p>
        </w:tc>
        <w:tc>
          <w:tcPr>
            <w:tcW w:w="1023" w:type="dxa"/>
            <w:tcBorders>
              <w:top w:val="nil"/>
              <w:left w:val="nil"/>
              <w:bottom w:val="single" w:sz="8" w:space="0" w:color="auto"/>
              <w:right w:val="nil"/>
            </w:tcBorders>
            <w:shd w:val="clear" w:color="000000" w:fill="FFFFFF"/>
            <w:noWrap/>
            <w:vAlign w:val="bottom"/>
          </w:tcPr>
          <w:p w14:paraId="48A20796" w14:textId="4F0204B5" w:rsidR="009758AC" w:rsidRDefault="009758AC" w:rsidP="0072086A">
            <w:pPr>
              <w:jc w:val="right"/>
              <w:rPr>
                <w:rFonts w:ascii="Times New Roman" w:hAnsi="Times New Roman"/>
                <w:color w:val="000000"/>
                <w:lang w:val="en-CA" w:eastAsia="zh-CN"/>
              </w:rPr>
            </w:pPr>
            <w:r>
              <w:rPr>
                <w:rFonts w:ascii="Times New Roman" w:hAnsi="Times New Roman"/>
                <w:color w:val="000000"/>
                <w:lang w:val="en-CA" w:eastAsia="zh-CN"/>
              </w:rPr>
              <w:t>1.16</w:t>
            </w:r>
          </w:p>
        </w:tc>
        <w:tc>
          <w:tcPr>
            <w:tcW w:w="1023" w:type="dxa"/>
            <w:tcBorders>
              <w:top w:val="nil"/>
              <w:left w:val="nil"/>
              <w:bottom w:val="single" w:sz="8" w:space="0" w:color="auto"/>
              <w:right w:val="nil"/>
            </w:tcBorders>
            <w:shd w:val="clear" w:color="000000" w:fill="FFFFFF"/>
            <w:noWrap/>
            <w:vAlign w:val="bottom"/>
          </w:tcPr>
          <w:p w14:paraId="0B09D36C" w14:textId="1B7B807A" w:rsidR="009758AC" w:rsidRDefault="009758AC" w:rsidP="0072086A">
            <w:pPr>
              <w:jc w:val="right"/>
              <w:rPr>
                <w:rFonts w:ascii="Times New Roman" w:hAnsi="Times New Roman"/>
                <w:color w:val="000000"/>
                <w:lang w:val="en-CA" w:eastAsia="zh-CN"/>
              </w:rPr>
            </w:pPr>
            <w:r>
              <w:rPr>
                <w:rFonts w:ascii="Times New Roman" w:hAnsi="Times New Roman"/>
                <w:color w:val="000000"/>
                <w:lang w:val="en-CA" w:eastAsia="zh-CN"/>
              </w:rPr>
              <w:t>1.15</w:t>
            </w:r>
          </w:p>
        </w:tc>
        <w:tc>
          <w:tcPr>
            <w:tcW w:w="1023" w:type="dxa"/>
            <w:tcBorders>
              <w:top w:val="nil"/>
              <w:left w:val="nil"/>
              <w:bottom w:val="single" w:sz="8" w:space="0" w:color="auto"/>
              <w:right w:val="nil"/>
            </w:tcBorders>
            <w:shd w:val="clear" w:color="000000" w:fill="FFFFFF"/>
            <w:noWrap/>
            <w:vAlign w:val="bottom"/>
          </w:tcPr>
          <w:p w14:paraId="1300861E" w14:textId="6BFC914C" w:rsidR="009758AC" w:rsidRDefault="009758AC" w:rsidP="0072086A">
            <w:pPr>
              <w:jc w:val="right"/>
              <w:rPr>
                <w:rFonts w:ascii="Times New Roman" w:hAnsi="Times New Roman"/>
                <w:color w:val="000000"/>
                <w:lang w:val="en-CA" w:eastAsia="zh-CN"/>
              </w:rPr>
            </w:pPr>
            <w:r>
              <w:rPr>
                <w:rFonts w:ascii="Times New Roman" w:hAnsi="Times New Roman"/>
                <w:color w:val="000000"/>
                <w:lang w:val="en-CA" w:eastAsia="zh-CN"/>
              </w:rPr>
              <w:t>1.14</w:t>
            </w:r>
          </w:p>
        </w:tc>
        <w:tc>
          <w:tcPr>
            <w:tcW w:w="1023" w:type="dxa"/>
            <w:tcBorders>
              <w:top w:val="nil"/>
              <w:left w:val="nil"/>
              <w:bottom w:val="single" w:sz="8" w:space="0" w:color="auto"/>
              <w:right w:val="nil"/>
            </w:tcBorders>
            <w:shd w:val="clear" w:color="000000" w:fill="FFFFFF"/>
            <w:noWrap/>
            <w:vAlign w:val="bottom"/>
          </w:tcPr>
          <w:p w14:paraId="1625E300" w14:textId="535F0DAA" w:rsidR="009758AC" w:rsidRDefault="009758AC" w:rsidP="0072086A">
            <w:pPr>
              <w:jc w:val="right"/>
              <w:rPr>
                <w:rFonts w:ascii="Times New Roman" w:hAnsi="Times New Roman"/>
                <w:color w:val="000000"/>
                <w:lang w:val="en-CA" w:eastAsia="zh-CN"/>
              </w:rPr>
            </w:pPr>
            <w:r>
              <w:rPr>
                <w:rFonts w:ascii="Times New Roman" w:hAnsi="Times New Roman"/>
                <w:color w:val="000000"/>
                <w:lang w:val="en-CA" w:eastAsia="zh-CN"/>
              </w:rPr>
              <w:t>1.13</w:t>
            </w:r>
          </w:p>
        </w:tc>
        <w:tc>
          <w:tcPr>
            <w:tcW w:w="1023" w:type="dxa"/>
            <w:tcBorders>
              <w:top w:val="nil"/>
              <w:left w:val="nil"/>
              <w:bottom w:val="single" w:sz="8" w:space="0" w:color="auto"/>
              <w:right w:val="single" w:sz="8" w:space="0" w:color="auto"/>
            </w:tcBorders>
            <w:shd w:val="clear" w:color="000000" w:fill="FFFFFF"/>
            <w:noWrap/>
            <w:vAlign w:val="bottom"/>
          </w:tcPr>
          <w:p w14:paraId="46823005" w14:textId="009C12BF" w:rsidR="009758AC" w:rsidRDefault="009758AC" w:rsidP="0072086A">
            <w:pPr>
              <w:jc w:val="right"/>
              <w:rPr>
                <w:rFonts w:ascii="Times New Roman" w:hAnsi="Times New Roman"/>
                <w:color w:val="000000"/>
                <w:lang w:val="en-CA" w:eastAsia="zh-CN"/>
              </w:rPr>
            </w:pPr>
            <w:r>
              <w:rPr>
                <w:rFonts w:ascii="Times New Roman" w:hAnsi="Times New Roman"/>
                <w:color w:val="000000"/>
                <w:lang w:val="en-CA" w:eastAsia="zh-CN"/>
              </w:rPr>
              <w:t>1.13</w:t>
            </w:r>
          </w:p>
        </w:tc>
      </w:tr>
    </w:tbl>
    <w:p w14:paraId="3389B83A" w14:textId="159D2261" w:rsidR="00656319" w:rsidRPr="0072086A" w:rsidRDefault="00656319" w:rsidP="0072086A">
      <w:pPr>
        <w:pStyle w:val="Heading1"/>
        <w:spacing w:before="0"/>
        <w:rPr>
          <w:rFonts w:ascii="Times New Roman" w:hAnsi="Times New Roman"/>
          <w:sz w:val="20"/>
        </w:rPr>
      </w:pPr>
    </w:p>
    <w:p w14:paraId="2170FB6E" w14:textId="34F9F8BE" w:rsidR="0072086A" w:rsidRDefault="00A43D61" w:rsidP="00585424">
      <w:pPr>
        <w:ind w:left="2160"/>
      </w:pPr>
      <w:r w:rsidRPr="0072086A">
        <w:rPr>
          <w:b/>
        </w:rPr>
        <w:t>Increasing</w:t>
      </w:r>
      <w:r w:rsidR="0072086A" w:rsidRPr="0072086A">
        <w:rPr>
          <w:b/>
        </w:rPr>
        <w:t xml:space="preserve"> Margin</w:t>
      </w:r>
      <w:r w:rsidR="004A3672">
        <w:rPr>
          <w:b/>
        </w:rPr>
        <w:t>s</w:t>
      </w:r>
      <w:r w:rsidR="0072086A" w:rsidRPr="0072086A">
        <w:rPr>
          <w:b/>
        </w:rPr>
        <w:t xml:space="preserve"> Supported by </w:t>
      </w:r>
      <w:r w:rsidR="004A3672">
        <w:rPr>
          <w:b/>
        </w:rPr>
        <w:t xml:space="preserve">Existing </w:t>
      </w:r>
      <w:r>
        <w:rPr>
          <w:b/>
        </w:rPr>
        <w:t>Infrastructures</w:t>
      </w:r>
    </w:p>
    <w:p w14:paraId="738FAA76" w14:textId="763FBBC8" w:rsidR="0072086A" w:rsidRPr="004A3672" w:rsidRDefault="0072086A" w:rsidP="00585424">
      <w:pPr>
        <w:ind w:left="2160"/>
        <w:rPr>
          <w:rFonts w:ascii="Times New Roman" w:hAnsi="Times New Roman"/>
        </w:rPr>
      </w:pPr>
    </w:p>
    <w:p w14:paraId="10FEF4B2" w14:textId="7139DA50" w:rsidR="001B68DC" w:rsidRDefault="0072086A" w:rsidP="00585424">
      <w:pPr>
        <w:ind w:left="2160"/>
        <w:rPr>
          <w:rFonts w:ascii="Times New Roman" w:hAnsi="Times New Roman"/>
        </w:rPr>
      </w:pPr>
      <w:r w:rsidRPr="004A3672">
        <w:rPr>
          <w:rFonts w:ascii="Times New Roman" w:hAnsi="Times New Roman"/>
        </w:rPr>
        <w:t xml:space="preserve">Whistler </w:t>
      </w:r>
      <w:r w:rsidR="004A3672" w:rsidRPr="004A3672">
        <w:rPr>
          <w:rFonts w:ascii="Times New Roman" w:hAnsi="Times New Roman"/>
        </w:rPr>
        <w:t xml:space="preserve">Blackcomb has experienced a period of immense infrastructure constructions, which led to </w:t>
      </w:r>
      <w:r w:rsidR="00A43D61" w:rsidRPr="004A3672">
        <w:rPr>
          <w:rFonts w:ascii="Times New Roman" w:hAnsi="Times New Roman"/>
        </w:rPr>
        <w:t>its</w:t>
      </w:r>
      <w:r w:rsidR="004A3672" w:rsidRPr="004A3672">
        <w:rPr>
          <w:rFonts w:ascii="Times New Roman" w:hAnsi="Times New Roman"/>
        </w:rPr>
        <w:t xml:space="preserve"> high depreciation expenses. Currently Both the Whistler </w:t>
      </w:r>
      <w:r w:rsidR="00BD37FA">
        <w:rPr>
          <w:rFonts w:ascii="Times New Roman" w:hAnsi="Times New Roman"/>
        </w:rPr>
        <w:t xml:space="preserve">and Blackcomb </w:t>
      </w:r>
      <w:r w:rsidR="00A43D61">
        <w:rPr>
          <w:rFonts w:ascii="Times New Roman" w:hAnsi="Times New Roman"/>
        </w:rPr>
        <w:t>Mountain</w:t>
      </w:r>
      <w:r w:rsidR="00BD37FA">
        <w:rPr>
          <w:rFonts w:ascii="Times New Roman" w:hAnsi="Times New Roman"/>
        </w:rPr>
        <w:t xml:space="preserve"> have a </w:t>
      </w:r>
      <w:r w:rsidR="004A3672" w:rsidRPr="004A3672">
        <w:rPr>
          <w:rFonts w:ascii="Times New Roman" w:hAnsi="Times New Roman"/>
        </w:rPr>
        <w:t>combined lift capacity of 65,507 Skiers/Hour, which far exceed</w:t>
      </w:r>
      <w:r w:rsidR="00BD37FA">
        <w:rPr>
          <w:rFonts w:ascii="Times New Roman" w:hAnsi="Times New Roman"/>
        </w:rPr>
        <w:t>s</w:t>
      </w:r>
      <w:r w:rsidR="004A3672" w:rsidRPr="004A3672">
        <w:rPr>
          <w:rFonts w:ascii="Times New Roman" w:hAnsi="Times New Roman"/>
        </w:rPr>
        <w:t xml:space="preserve"> i</w:t>
      </w:r>
      <w:r w:rsidR="00BD37FA">
        <w:rPr>
          <w:rFonts w:ascii="Times New Roman" w:hAnsi="Times New Roman"/>
        </w:rPr>
        <w:t>ts current visit numbers. With</w:t>
      </w:r>
      <w:r w:rsidR="004A3672" w:rsidRPr="004A3672">
        <w:rPr>
          <w:rFonts w:ascii="Times New Roman" w:hAnsi="Times New Roman"/>
        </w:rPr>
        <w:t xml:space="preserve"> CAPEX staying low to only meet </w:t>
      </w:r>
      <w:r w:rsidR="00A43D61" w:rsidRPr="004A3672">
        <w:rPr>
          <w:rFonts w:ascii="Times New Roman" w:hAnsi="Times New Roman"/>
        </w:rPr>
        <w:t>maintenance</w:t>
      </w:r>
      <w:r w:rsidR="004A3672" w:rsidRPr="004A3672">
        <w:rPr>
          <w:rFonts w:ascii="Times New Roman" w:hAnsi="Times New Roman"/>
        </w:rPr>
        <w:t xml:space="preserve"> requirements</w:t>
      </w:r>
      <w:r w:rsidR="00BD37FA">
        <w:rPr>
          <w:rFonts w:ascii="Times New Roman" w:hAnsi="Times New Roman"/>
        </w:rPr>
        <w:t>, and depreciation being stable,</w:t>
      </w:r>
      <w:r w:rsidR="004A3672" w:rsidRPr="004A3672">
        <w:rPr>
          <w:rFonts w:ascii="Times New Roman" w:hAnsi="Times New Roman"/>
        </w:rPr>
        <w:t xml:space="preserve"> </w:t>
      </w:r>
      <w:r w:rsidR="00BD37FA">
        <w:rPr>
          <w:rFonts w:ascii="Times New Roman" w:hAnsi="Times New Roman"/>
        </w:rPr>
        <w:t>WB will be</w:t>
      </w:r>
      <w:r w:rsidR="004A3672" w:rsidRPr="004A3672">
        <w:rPr>
          <w:rFonts w:ascii="Times New Roman" w:hAnsi="Times New Roman"/>
        </w:rPr>
        <w:t xml:space="preserve"> able to </w:t>
      </w:r>
      <w:r w:rsidR="00A43D61" w:rsidRPr="004A3672">
        <w:rPr>
          <w:rFonts w:ascii="Times New Roman" w:hAnsi="Times New Roman"/>
        </w:rPr>
        <w:t>m</w:t>
      </w:r>
      <w:r w:rsidR="00A43D61">
        <w:rPr>
          <w:rFonts w:ascii="Times New Roman" w:hAnsi="Times New Roman"/>
        </w:rPr>
        <w:t>aximize</w:t>
      </w:r>
      <w:r w:rsidR="004A3672" w:rsidRPr="004A3672">
        <w:rPr>
          <w:rFonts w:ascii="Times New Roman" w:hAnsi="Times New Roman"/>
        </w:rPr>
        <w:t xml:space="preserve"> </w:t>
      </w:r>
      <w:r w:rsidR="00BD37FA">
        <w:rPr>
          <w:rFonts w:ascii="Times New Roman" w:hAnsi="Times New Roman"/>
        </w:rPr>
        <w:t xml:space="preserve">net-income, </w:t>
      </w:r>
      <w:r w:rsidR="00BD37FA">
        <w:rPr>
          <w:rFonts w:ascii="Times New Roman" w:hAnsi="Times New Roman"/>
          <w:lang w:eastAsia="zh-CN"/>
        </w:rPr>
        <w:t>cash flow</w:t>
      </w:r>
      <w:r w:rsidR="004A3672" w:rsidRPr="004A3672">
        <w:rPr>
          <w:rFonts w:ascii="Times New Roman" w:hAnsi="Times New Roman"/>
        </w:rPr>
        <w:t xml:space="preserve">, and utilize its existing infrastructures to meet future demands. </w:t>
      </w:r>
    </w:p>
    <w:p w14:paraId="7CA2B52E" w14:textId="1F528E42" w:rsidR="001B68DC" w:rsidRDefault="001B68DC" w:rsidP="00585424">
      <w:pPr>
        <w:ind w:left="2160"/>
        <w:rPr>
          <w:rFonts w:ascii="Times New Roman" w:hAnsi="Times New Roman"/>
        </w:rPr>
      </w:pPr>
    </w:p>
    <w:p w14:paraId="000E7A7C" w14:textId="32813A86" w:rsidR="001B68DC" w:rsidRPr="001B68DC" w:rsidRDefault="001B68DC" w:rsidP="00585424">
      <w:pPr>
        <w:ind w:left="2160"/>
        <w:rPr>
          <w:rFonts w:ascii="Times New Roman" w:hAnsi="Times New Roman"/>
          <w:b/>
        </w:rPr>
      </w:pPr>
      <w:r w:rsidRPr="001B68DC">
        <w:rPr>
          <w:rFonts w:ascii="Times New Roman" w:hAnsi="Times New Roman"/>
          <w:b/>
        </w:rPr>
        <w:t xml:space="preserve">Consistent Dividend Level Shows </w:t>
      </w:r>
      <w:r w:rsidR="002467F3">
        <w:rPr>
          <w:rFonts w:ascii="Times New Roman" w:hAnsi="Times New Roman"/>
          <w:b/>
        </w:rPr>
        <w:t>Management Confidence</w:t>
      </w:r>
    </w:p>
    <w:p w14:paraId="467D89E3" w14:textId="64AD7F94" w:rsidR="001B68DC" w:rsidRDefault="001B68DC" w:rsidP="00585424">
      <w:pPr>
        <w:ind w:left="2160"/>
        <w:rPr>
          <w:rFonts w:ascii="Times New Roman" w:hAnsi="Times New Roman"/>
          <w:b/>
        </w:rPr>
      </w:pPr>
    </w:p>
    <w:p w14:paraId="253DCE91" w14:textId="77777777" w:rsidR="00AF5D65" w:rsidRPr="001F3A00" w:rsidRDefault="00AF5D65" w:rsidP="00AF5D65">
      <w:pPr>
        <w:ind w:left="2160"/>
        <w:rPr>
          <w:rFonts w:ascii="Times New Roman" w:hAnsi="Times New Roman"/>
          <w:color w:val="FF0000"/>
        </w:rPr>
      </w:pPr>
      <w:r w:rsidRPr="002A6029">
        <w:rPr>
          <w:noProof/>
          <w:lang w:val="en-CA" w:eastAsia="en-CA"/>
        </w:rPr>
        <w:drawing>
          <wp:anchor distT="0" distB="0" distL="114300" distR="114300" simplePos="0" relativeHeight="251700736" behindDoc="1" locked="0" layoutInCell="1" allowOverlap="1" wp14:anchorId="4F2A44FA" wp14:editId="497ACE48">
            <wp:simplePos x="0" y="0"/>
            <wp:positionH relativeFrom="column">
              <wp:posOffset>-683895</wp:posOffset>
            </wp:positionH>
            <wp:positionV relativeFrom="paragraph">
              <wp:posOffset>270510</wp:posOffset>
            </wp:positionV>
            <wp:extent cx="2114550" cy="2114550"/>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2A6029">
        <w:rPr>
          <w:rFonts w:ascii="Times New Roman" w:hAnsi="Times New Roman"/>
        </w:rPr>
        <w:t>Whistler Blackcomb has paid $0.97/Share in dividends consistently over the past four years, dividend numbers far exceed WB’s EPS. This is seen as signs of high confidence level of the management team in WB’s future. The dividend payout ratio of dividends relative to earnings was 180.6% in 2015, decreasing from 263.2% in 2013; we project the payout ratio will progressively decrease to below 100% over the next five years as earnings increase in step with increasing operating profits margin. In the meantime, the firm has adequate cash flow to maintain the current dividend because reported earnings are depressed by the large depreciation expense related to past capital investment. However, it is important to note that in the next few years, if WB is faced with stagnant revenue growth, the company may be required to issue new loans to sustain the high dividend level of past years</w:t>
      </w:r>
      <w:r w:rsidRPr="002A6029">
        <w:rPr>
          <w:rFonts w:ascii="Times New Roman" w:hAnsi="Times New Roman"/>
          <w:color w:val="FF0000"/>
        </w:rPr>
        <w:t>.</w:t>
      </w:r>
      <w:r w:rsidRPr="001F3A00">
        <w:rPr>
          <w:rFonts w:ascii="Times New Roman" w:hAnsi="Times New Roman"/>
          <w:color w:val="FF0000"/>
        </w:rPr>
        <w:t xml:space="preserve">  </w:t>
      </w:r>
    </w:p>
    <w:p w14:paraId="00761B77" w14:textId="0F3B2671" w:rsidR="004A3672" w:rsidRDefault="004A3672" w:rsidP="00585424">
      <w:pPr>
        <w:ind w:left="2160"/>
      </w:pPr>
    </w:p>
    <w:p w14:paraId="4AF63772" w14:textId="36FA5556" w:rsidR="001B68DC" w:rsidRDefault="001B68DC" w:rsidP="00585424">
      <w:pPr>
        <w:ind w:left="2160"/>
        <w:rPr>
          <w:b/>
        </w:rPr>
      </w:pPr>
      <w:r w:rsidRPr="001B68DC">
        <w:rPr>
          <w:b/>
        </w:rPr>
        <w:t>High Debt Poses Threat to Company’</w:t>
      </w:r>
      <w:r>
        <w:rPr>
          <w:b/>
        </w:rPr>
        <w:t xml:space="preserve">s </w:t>
      </w:r>
      <w:r w:rsidR="00A43D61">
        <w:rPr>
          <w:b/>
        </w:rPr>
        <w:t>Cash flows</w:t>
      </w:r>
    </w:p>
    <w:p w14:paraId="397AC84A" w14:textId="5DE62E1E" w:rsidR="001B68DC" w:rsidRDefault="001B68DC" w:rsidP="00585424">
      <w:pPr>
        <w:ind w:left="2160"/>
        <w:rPr>
          <w:b/>
        </w:rPr>
      </w:pPr>
    </w:p>
    <w:p w14:paraId="7EE1595F" w14:textId="5F5E035A" w:rsidR="0072086A" w:rsidRDefault="001B68DC" w:rsidP="00585424">
      <w:pPr>
        <w:ind w:left="2160"/>
      </w:pPr>
      <w:r>
        <w:t>Whistler Blackcomb’s current available cash is relatively low compared to past years. With long-term debt amount of $232.4 Million Dollar, WB’s current cash</w:t>
      </w:r>
      <w:r w:rsidR="002467F3">
        <w:t xml:space="preserve"> of 5.68 </w:t>
      </w:r>
      <w:r w:rsidR="00A43D61">
        <w:t>Million</w:t>
      </w:r>
      <w:r>
        <w:t xml:space="preserve"> may not be sufficient to maintain the high level of dividend or begin paying back </w:t>
      </w:r>
      <w:r w:rsidR="00A43D61">
        <w:t>its</w:t>
      </w:r>
      <w:r w:rsidR="002467F3">
        <w:t xml:space="preserve"> </w:t>
      </w:r>
      <w:r>
        <w:t>debt.</w:t>
      </w:r>
    </w:p>
    <w:p w14:paraId="155F9D45" w14:textId="5B53B38E" w:rsidR="009758AC" w:rsidRDefault="00BD37FA" w:rsidP="001C4FBD">
      <w:r>
        <w:rPr>
          <w:noProof/>
          <w:lang w:val="en-CA" w:eastAsia="en-CA"/>
        </w:rPr>
        <w:lastRenderedPageBreak/>
        <w:drawing>
          <wp:anchor distT="0" distB="0" distL="114300" distR="114300" simplePos="0" relativeHeight="251670016" behindDoc="1" locked="0" layoutInCell="1" allowOverlap="1" wp14:anchorId="5EB42964" wp14:editId="252D0D03">
            <wp:simplePos x="0" y="0"/>
            <wp:positionH relativeFrom="page">
              <wp:posOffset>8627</wp:posOffset>
            </wp:positionH>
            <wp:positionV relativeFrom="paragraph">
              <wp:posOffset>119164</wp:posOffset>
            </wp:positionV>
            <wp:extent cx="1952625" cy="2543175"/>
            <wp:effectExtent l="0" t="0" r="0" b="0"/>
            <wp:wrapNone/>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6076077A" w14:textId="6F376B1F" w:rsidR="009758AC" w:rsidRDefault="009758AC" w:rsidP="00585424">
      <w:pPr>
        <w:ind w:left="2160"/>
        <w:rPr>
          <w:b/>
        </w:rPr>
      </w:pPr>
      <w:r>
        <w:rPr>
          <w:b/>
        </w:rPr>
        <w:t>Financial Leverage</w:t>
      </w:r>
    </w:p>
    <w:p w14:paraId="2B09B734" w14:textId="52DC1F0E" w:rsidR="009758AC" w:rsidRDefault="009758AC" w:rsidP="00585424">
      <w:pPr>
        <w:ind w:left="2160"/>
        <w:rPr>
          <w:b/>
        </w:rPr>
      </w:pPr>
    </w:p>
    <w:p w14:paraId="2EB1E9EA" w14:textId="63BFE919" w:rsidR="009758AC" w:rsidRDefault="009758AC" w:rsidP="00585424">
      <w:pPr>
        <w:ind w:left="2160"/>
        <w:rPr>
          <w:lang w:eastAsia="zh-CN"/>
        </w:rPr>
      </w:pPr>
      <w:r>
        <w:t>Degree of financial leverage has decreased steadily, showing both WB’s decrease</w:t>
      </w:r>
      <w:r w:rsidR="00BD37FA">
        <w:t xml:space="preserve"> in</w:t>
      </w:r>
      <w:r>
        <w:t xml:space="preserve"> dependency on debt and also </w:t>
      </w:r>
      <w:r w:rsidR="00A43D61">
        <w:t>its</w:t>
      </w:r>
      <w:r>
        <w:t xml:space="preserve"> ability to </w:t>
      </w:r>
      <w:r w:rsidR="00557355">
        <w:t xml:space="preserve">pay back its </w:t>
      </w:r>
      <w:r w:rsidR="00BD37FA">
        <w:t>debt. As part of our assumptions</w:t>
      </w:r>
      <w:r w:rsidR="00557355">
        <w:t>, we project debt levels to remain stable as WB will not have large CAPEX plans</w:t>
      </w:r>
      <w:r w:rsidR="00BD37FA">
        <w:t xml:space="preserve">, and we believe WB will not have much excess </w:t>
      </w:r>
      <w:r w:rsidR="00A43D61">
        <w:t>cash flow</w:t>
      </w:r>
      <w:r w:rsidR="00BD37FA">
        <w:t xml:space="preserve"> to cut down on existing debt.</w:t>
      </w:r>
      <w:r w:rsidR="00557355">
        <w:t xml:space="preserve"> </w:t>
      </w:r>
      <w:r w:rsidR="00BD37FA">
        <w:t>However, given the amount of financing options WB has, we</w:t>
      </w:r>
      <w:r w:rsidR="00557355">
        <w:t xml:space="preserve"> strongly believe in WB’s ability to fulfill its debt obligations as its revenue will see significant increases in the next few years.</w:t>
      </w:r>
    </w:p>
    <w:p w14:paraId="7A677F36" w14:textId="0E4BAB2C" w:rsidR="009758AC" w:rsidRDefault="009758AC" w:rsidP="00585424">
      <w:pPr>
        <w:ind w:left="2160"/>
      </w:pPr>
    </w:p>
    <w:p w14:paraId="225FFD49" w14:textId="14EA5ECC" w:rsidR="002467F3" w:rsidRDefault="009758AC" w:rsidP="00585424">
      <w:pPr>
        <w:ind w:left="2160"/>
        <w:rPr>
          <w:b/>
        </w:rPr>
      </w:pPr>
      <w:r w:rsidRPr="009758AC">
        <w:rPr>
          <w:b/>
        </w:rPr>
        <w:t>ROE Composition</w:t>
      </w:r>
    </w:p>
    <w:p w14:paraId="3B5C510A" w14:textId="64644F95" w:rsidR="009758AC" w:rsidRDefault="009758AC" w:rsidP="00585424">
      <w:pPr>
        <w:ind w:left="2160"/>
        <w:rPr>
          <w:b/>
        </w:rPr>
      </w:pPr>
    </w:p>
    <w:p w14:paraId="024205E7" w14:textId="73462524" w:rsidR="009758AC" w:rsidRDefault="002467F3" w:rsidP="00585424">
      <w:pPr>
        <w:ind w:left="2160"/>
      </w:pPr>
      <w:r>
        <w:t xml:space="preserve">ROE is expected to increase from 5.1% to 9.5% in the next 5-year period. The main drivers of this </w:t>
      </w:r>
      <w:r w:rsidR="00BD37FA">
        <w:t xml:space="preserve">are </w:t>
      </w:r>
      <w:r>
        <w:t>Net Income Margin increases as result of low CAPEX and depreciation as well as the decrease in financial leverage overtime.</w:t>
      </w:r>
      <w:r w:rsidR="009758AC">
        <w:t xml:space="preserve"> </w:t>
      </w:r>
    </w:p>
    <w:p w14:paraId="66EE787B" w14:textId="039E90E4" w:rsidR="009758AC" w:rsidRDefault="009758AC" w:rsidP="00F712A9"/>
    <w:p w14:paraId="65910576" w14:textId="606F6DF1" w:rsidR="009758AC" w:rsidRDefault="009758AC" w:rsidP="00585424">
      <w:pPr>
        <w:ind w:left="2160"/>
        <w:rPr>
          <w:b/>
        </w:rPr>
      </w:pPr>
      <w:r w:rsidRPr="009758AC">
        <w:rPr>
          <w:b/>
        </w:rPr>
        <w:t>Stability in Debt Level</w:t>
      </w:r>
      <w:r w:rsidR="00267A95">
        <w:rPr>
          <w:b/>
        </w:rPr>
        <w:t>s</w:t>
      </w:r>
      <w:r w:rsidRPr="009758AC">
        <w:rPr>
          <w:b/>
        </w:rPr>
        <w:t xml:space="preserve"> Due to Slowdown in Expansion</w:t>
      </w:r>
      <w:r w:rsidR="00585424">
        <w:rPr>
          <w:b/>
        </w:rPr>
        <w:t xml:space="preserve"> and Increase in Net Income</w:t>
      </w:r>
    </w:p>
    <w:p w14:paraId="3D029CB0" w14:textId="711F06CE" w:rsidR="009758AC" w:rsidRDefault="009758AC" w:rsidP="00585424">
      <w:pPr>
        <w:ind w:left="2160"/>
      </w:pPr>
    </w:p>
    <w:p w14:paraId="2841D332" w14:textId="0838E02D" w:rsidR="009758AC" w:rsidRPr="009758AC" w:rsidRDefault="00926F29" w:rsidP="00585424">
      <w:pPr>
        <w:ind w:left="2160"/>
      </w:pPr>
      <w:r>
        <w:rPr>
          <w:noProof/>
          <w:lang w:val="en-CA" w:eastAsia="en-CA"/>
        </w:rPr>
        <w:drawing>
          <wp:anchor distT="0" distB="0" distL="114300" distR="114300" simplePos="0" relativeHeight="251665920" behindDoc="0" locked="0" layoutInCell="1" allowOverlap="1" wp14:anchorId="3D23BB32" wp14:editId="49015E2B">
            <wp:simplePos x="0" y="0"/>
            <wp:positionH relativeFrom="page">
              <wp:align>left</wp:align>
            </wp:positionH>
            <wp:positionV relativeFrom="paragraph">
              <wp:posOffset>421376</wp:posOffset>
            </wp:positionV>
            <wp:extent cx="1924050" cy="2238375"/>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9758AC">
        <w:t xml:space="preserve">Debt level will likely </w:t>
      </w:r>
      <w:r w:rsidR="00585424">
        <w:t>stabilize</w:t>
      </w:r>
      <w:r w:rsidR="009758AC">
        <w:t xml:space="preserve"> as a result of</w:t>
      </w:r>
      <w:r w:rsidR="00585424">
        <w:t xml:space="preserve"> cut in CAPEX</w:t>
      </w:r>
      <w:r w:rsidR="009758AC">
        <w:t xml:space="preserve">, retained </w:t>
      </w:r>
      <w:r w:rsidR="00A43D61">
        <w:t>earnings</w:t>
      </w:r>
      <w:r w:rsidR="009758AC">
        <w:t xml:space="preserve"> is </w:t>
      </w:r>
      <w:r w:rsidR="00585424">
        <w:t>expected to increase as EPS exceed</w:t>
      </w:r>
      <w:r w:rsidR="00BD37FA">
        <w:t>s</w:t>
      </w:r>
      <w:r w:rsidR="00585424">
        <w:t xml:space="preserve"> the dividend level of $0.98/Share. Therefore degree of financial leverage will likely decrease</w:t>
      </w:r>
      <w:r w:rsidR="00BD37FA">
        <w:t>,</w:t>
      </w:r>
      <w:r w:rsidR="00585424">
        <w:t xml:space="preserve"> as well as an increase in the level of interest coverage ratio.</w:t>
      </w:r>
    </w:p>
    <w:p w14:paraId="0F7341F6" w14:textId="134E643F" w:rsidR="002467F3" w:rsidRDefault="002467F3" w:rsidP="00267A95">
      <w:pPr>
        <w:pStyle w:val="Heading1"/>
        <w:spacing w:before="0"/>
        <w:rPr>
          <w:rFonts w:ascii="Times New Roman" w:hAnsi="Times New Roman"/>
          <w:szCs w:val="28"/>
        </w:rPr>
      </w:pPr>
    </w:p>
    <w:p w14:paraId="456D59FE" w14:textId="39AE2C89" w:rsidR="00656319" w:rsidRPr="00ED2414" w:rsidRDefault="00656319" w:rsidP="00656319">
      <w:pPr>
        <w:pStyle w:val="Heading1"/>
        <w:spacing w:before="0"/>
        <w:ind w:left="2160"/>
        <w:rPr>
          <w:rFonts w:ascii="Times New Roman" w:hAnsi="Times New Roman"/>
          <w:szCs w:val="28"/>
        </w:rPr>
      </w:pPr>
      <w:r w:rsidRPr="00ED2414">
        <w:rPr>
          <w:rFonts w:ascii="Times New Roman" w:hAnsi="Times New Roman"/>
          <w:szCs w:val="28"/>
        </w:rPr>
        <w:t>Valuation</w:t>
      </w:r>
    </w:p>
    <w:p w14:paraId="0F2245B6" w14:textId="25915D7F" w:rsidR="00656319" w:rsidRPr="00ED2414" w:rsidRDefault="00656319" w:rsidP="00656319">
      <w:pPr>
        <w:rPr>
          <w:rFonts w:ascii="Times New Roman" w:hAnsi="Times New Roman"/>
        </w:rPr>
      </w:pPr>
    </w:p>
    <w:p w14:paraId="341A3AEE" w14:textId="77777777" w:rsidR="00BF5640" w:rsidRPr="002E6728" w:rsidRDefault="00BF5640" w:rsidP="00BF5640">
      <w:pPr>
        <w:ind w:left="2160"/>
        <w:jc w:val="both"/>
        <w:rPr>
          <w:rFonts w:ascii="Times New Roman" w:hAnsi="Times New Roman"/>
        </w:rPr>
      </w:pPr>
      <w:r w:rsidRPr="00BF5640">
        <w:rPr>
          <w:rFonts w:ascii="Times New Roman" w:hAnsi="Times New Roman"/>
        </w:rPr>
        <w:t>For the valuation of Whistler Blackcomb, we utilized two valuation methodologies, 5-year Discounted Cash Flow Analysis and Comparable Multiples Valuation. We used 50% weighting for both of these valuation methodologies to arrive at an intrinsic share value of $22.16.</w:t>
      </w:r>
    </w:p>
    <w:p w14:paraId="1027EA06" w14:textId="65EDF0DE" w:rsidR="00656319" w:rsidRPr="00ED2414" w:rsidRDefault="00656319" w:rsidP="00656319">
      <w:pPr>
        <w:ind w:left="2160"/>
        <w:jc w:val="both"/>
        <w:rPr>
          <w:rFonts w:ascii="Times New Roman" w:hAnsi="Times New Roman"/>
          <w:b/>
        </w:rPr>
      </w:pPr>
    </w:p>
    <w:p w14:paraId="0FF01D79" w14:textId="7DAB15B4" w:rsidR="00BD37FA" w:rsidRPr="00076A9F" w:rsidRDefault="00656319" w:rsidP="00BD37FA">
      <w:pPr>
        <w:ind w:left="2160"/>
        <w:jc w:val="both"/>
        <w:rPr>
          <w:rFonts w:ascii="Times New Roman" w:hAnsi="Times New Roman"/>
          <w:b/>
          <w:sz w:val="24"/>
        </w:rPr>
      </w:pPr>
      <w:r w:rsidRPr="00076A9F">
        <w:rPr>
          <w:rFonts w:ascii="Times New Roman" w:hAnsi="Times New Roman"/>
          <w:b/>
          <w:sz w:val="24"/>
        </w:rPr>
        <w:t>DCF Model</w:t>
      </w:r>
    </w:p>
    <w:p w14:paraId="3E7B0E83" w14:textId="77777777" w:rsidR="000F7E42" w:rsidRDefault="000F7E42" w:rsidP="000F7E42">
      <w:pPr>
        <w:ind w:left="2160"/>
        <w:jc w:val="both"/>
        <w:rPr>
          <w:rFonts w:ascii="Times New Roman" w:hAnsi="Times New Roman"/>
        </w:rPr>
      </w:pPr>
      <w:r w:rsidRPr="000F7E42">
        <w:rPr>
          <w:rFonts w:ascii="Times New Roman" w:hAnsi="Times New Roman"/>
        </w:rPr>
        <w:t>A 2-Stage Discounted Cash Flow Model was used to estimate the intrinsic value of WB’s share price due to the predictability of cash flows in relation to growth and profitability. The model is forecasted 5-years. The first growth phase of the forecast represented our opinions of strong revenue growth as result of the depreciating Canadian Dollar, changing visitor mix, as well as the effects of weather conditions. The result of the DCF Model produced an intrinsic value per share of $21.57.</w:t>
      </w:r>
    </w:p>
    <w:p w14:paraId="04BD3B5C" w14:textId="067B4069" w:rsidR="00BD37FA" w:rsidRPr="00ED2414" w:rsidRDefault="00BD37FA" w:rsidP="00656319">
      <w:pPr>
        <w:ind w:left="2160"/>
        <w:jc w:val="both"/>
        <w:rPr>
          <w:rFonts w:ascii="Times New Roman" w:hAnsi="Times New Roman"/>
        </w:rPr>
      </w:pPr>
    </w:p>
    <w:p w14:paraId="2C46AE9F" w14:textId="67E4A7FC" w:rsidR="00656319" w:rsidRDefault="00082679" w:rsidP="00656319">
      <w:pPr>
        <w:ind w:left="2160"/>
        <w:jc w:val="both"/>
        <w:rPr>
          <w:rFonts w:ascii="Times New Roman" w:hAnsi="Times New Roman"/>
        </w:rPr>
      </w:pPr>
      <w:r>
        <w:rPr>
          <w:noProof/>
          <w:lang w:val="en-CA" w:eastAsia="en-CA"/>
        </w:rPr>
        <w:drawing>
          <wp:anchor distT="0" distB="0" distL="114300" distR="114300" simplePos="0" relativeHeight="251667968" behindDoc="1" locked="0" layoutInCell="1" allowOverlap="1" wp14:anchorId="2B48340A" wp14:editId="29179D9C">
            <wp:simplePos x="0" y="0"/>
            <wp:positionH relativeFrom="page">
              <wp:align>left</wp:align>
            </wp:positionH>
            <wp:positionV relativeFrom="paragraph">
              <wp:posOffset>361052</wp:posOffset>
            </wp:positionV>
            <wp:extent cx="2095500" cy="2400300"/>
            <wp:effectExtent l="0" t="0" r="0" b="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656319" w:rsidRPr="00ED2414">
        <w:rPr>
          <w:rFonts w:ascii="Times New Roman" w:hAnsi="Times New Roman"/>
        </w:rPr>
        <w:t>This model is driven by Free Cash Flow to Firm, which represents Operating Income</w:t>
      </w:r>
      <w:r w:rsidR="00BD37FA">
        <w:rPr>
          <w:rFonts w:ascii="Times New Roman" w:hAnsi="Times New Roman"/>
        </w:rPr>
        <w:t xml:space="preserve"> after tax</w:t>
      </w:r>
      <w:r w:rsidR="00656319" w:rsidRPr="00ED2414">
        <w:rPr>
          <w:rFonts w:ascii="Times New Roman" w:hAnsi="Times New Roman"/>
        </w:rPr>
        <w:t xml:space="preserve"> plus D&amp;A plus Capex plus Net Working Capital</w:t>
      </w:r>
      <w:r w:rsidR="00A43D61" w:rsidRPr="00ED2414">
        <w:rPr>
          <w:rFonts w:ascii="Times New Roman" w:hAnsi="Times New Roman"/>
        </w:rPr>
        <w:t>.</w:t>
      </w:r>
      <w:r w:rsidR="00656319" w:rsidRPr="00ED2414">
        <w:rPr>
          <w:rFonts w:ascii="Times New Roman" w:hAnsi="Times New Roman"/>
        </w:rPr>
        <w:t xml:space="preserve"> The DCF was expanded into a 10-year time frame to confirm with the consistency of the 5-year model, which produced supportive results. </w:t>
      </w:r>
    </w:p>
    <w:p w14:paraId="7ECC754E" w14:textId="504F1AB1" w:rsidR="00BD37FA" w:rsidRPr="00ED2414" w:rsidRDefault="00BD37FA" w:rsidP="00656319">
      <w:pPr>
        <w:ind w:left="2160"/>
        <w:jc w:val="both"/>
        <w:rPr>
          <w:rFonts w:ascii="Times New Roman" w:hAnsi="Times New Roman"/>
        </w:rPr>
      </w:pPr>
    </w:p>
    <w:p w14:paraId="2EA5CFAC" w14:textId="1BA9D8D9" w:rsidR="00656319" w:rsidRDefault="00BD37FA" w:rsidP="00656319">
      <w:pPr>
        <w:ind w:left="2160"/>
        <w:jc w:val="both"/>
        <w:rPr>
          <w:rFonts w:ascii="Times New Roman" w:hAnsi="Times New Roman"/>
        </w:rPr>
      </w:pPr>
      <w:r>
        <w:rPr>
          <w:rFonts w:ascii="Times New Roman" w:hAnsi="Times New Roman"/>
        </w:rPr>
        <w:t>Inputs for this model were</w:t>
      </w:r>
      <w:r w:rsidR="00656319" w:rsidRPr="00ED2414">
        <w:rPr>
          <w:rFonts w:ascii="Times New Roman" w:hAnsi="Times New Roman"/>
        </w:rPr>
        <w:t xml:space="preserve"> formulated using guidance from historical p</w:t>
      </w:r>
      <w:r>
        <w:rPr>
          <w:rFonts w:ascii="Times New Roman" w:hAnsi="Times New Roman"/>
        </w:rPr>
        <w:t>erformance, industry outlook,</w:t>
      </w:r>
      <w:r w:rsidR="00656319" w:rsidRPr="00ED2414">
        <w:rPr>
          <w:rFonts w:ascii="Times New Roman" w:hAnsi="Times New Roman"/>
        </w:rPr>
        <w:t xml:space="preserve"> assessment</w:t>
      </w:r>
      <w:r>
        <w:rPr>
          <w:rFonts w:ascii="Times New Roman" w:hAnsi="Times New Roman"/>
        </w:rPr>
        <w:t>s of WB’s competitive positioning, as well as guidance from management</w:t>
      </w:r>
      <w:r w:rsidR="00656319" w:rsidRPr="00ED2414">
        <w:rPr>
          <w:rFonts w:ascii="Times New Roman" w:hAnsi="Times New Roman"/>
        </w:rPr>
        <w:t>. The DCF is most sensitive to the following factors, the derivations of which are explained below:</w:t>
      </w:r>
    </w:p>
    <w:p w14:paraId="149AB54D" w14:textId="164CC26C" w:rsidR="0011337E" w:rsidRPr="00ED2414" w:rsidRDefault="0011337E" w:rsidP="00656319">
      <w:pPr>
        <w:ind w:left="2160"/>
        <w:jc w:val="both"/>
        <w:rPr>
          <w:rFonts w:ascii="Times New Roman" w:hAnsi="Times New Roman"/>
        </w:rPr>
      </w:pPr>
    </w:p>
    <w:p w14:paraId="2A1CBF05" w14:textId="20DF52E3" w:rsidR="00656319" w:rsidRPr="00ED2414" w:rsidRDefault="00656319" w:rsidP="00656319">
      <w:pPr>
        <w:ind w:left="2160"/>
        <w:jc w:val="both"/>
        <w:rPr>
          <w:rFonts w:ascii="Times New Roman" w:hAnsi="Times New Roman"/>
          <w:b/>
        </w:rPr>
      </w:pPr>
      <w:r w:rsidRPr="00ED2414">
        <w:rPr>
          <w:rFonts w:ascii="Times New Roman" w:hAnsi="Times New Roman"/>
          <w:b/>
        </w:rPr>
        <w:t>Revenue</w:t>
      </w:r>
    </w:p>
    <w:p w14:paraId="2BD8EBE0" w14:textId="67CB0F58" w:rsidR="00656319" w:rsidRPr="00ED2414" w:rsidRDefault="00BD37FA" w:rsidP="00656319">
      <w:pPr>
        <w:ind w:left="2160"/>
        <w:jc w:val="both"/>
        <w:rPr>
          <w:rFonts w:ascii="Times New Roman" w:hAnsi="Times New Roman"/>
        </w:rPr>
      </w:pPr>
      <w:r>
        <w:rPr>
          <w:rFonts w:ascii="Times New Roman" w:hAnsi="Times New Roman"/>
        </w:rPr>
        <w:t>T</w:t>
      </w:r>
      <w:r w:rsidR="00656319" w:rsidRPr="00ED2414">
        <w:rPr>
          <w:rFonts w:ascii="Times New Roman" w:hAnsi="Times New Roman"/>
        </w:rPr>
        <w:t>wo important metrics were used</w:t>
      </w:r>
      <w:r>
        <w:rPr>
          <w:rFonts w:ascii="Times New Roman" w:hAnsi="Times New Roman"/>
        </w:rPr>
        <w:t xml:space="preserve"> to forecast revenue</w:t>
      </w:r>
      <w:r w:rsidR="00656319" w:rsidRPr="00ED2414">
        <w:rPr>
          <w:rFonts w:ascii="Times New Roman" w:hAnsi="Times New Roman"/>
        </w:rPr>
        <w:t xml:space="preserve">, total visits and RPV (Revenue per Visit).  For total visits in the year 2016, we believe the number will </w:t>
      </w:r>
      <w:r>
        <w:rPr>
          <w:rFonts w:ascii="Times New Roman" w:hAnsi="Times New Roman"/>
        </w:rPr>
        <w:t>increase by 1.24</w:t>
      </w:r>
      <w:r w:rsidR="00656319" w:rsidRPr="00ED2414">
        <w:rPr>
          <w:rFonts w:ascii="Times New Roman" w:hAnsi="Times New Roman"/>
        </w:rPr>
        <w:t xml:space="preserve">% as a result </w:t>
      </w:r>
      <w:r>
        <w:rPr>
          <w:rFonts w:ascii="Times New Roman" w:hAnsi="Times New Roman"/>
        </w:rPr>
        <w:t>of increase in destination visits and stable local visits</w:t>
      </w:r>
      <w:r w:rsidR="00656319" w:rsidRPr="00ED2414">
        <w:rPr>
          <w:rFonts w:ascii="Times New Roman" w:hAnsi="Times New Roman"/>
        </w:rPr>
        <w:t xml:space="preserve">. We believe that the low Canadian Dollar </w:t>
      </w:r>
      <w:r>
        <w:rPr>
          <w:rFonts w:ascii="Times New Roman" w:hAnsi="Times New Roman"/>
        </w:rPr>
        <w:t xml:space="preserve">and weather condition </w:t>
      </w:r>
      <w:r w:rsidR="00656319" w:rsidRPr="00ED2414">
        <w:rPr>
          <w:rFonts w:ascii="Times New Roman" w:hAnsi="Times New Roman"/>
        </w:rPr>
        <w:t>will attr</w:t>
      </w:r>
      <w:r>
        <w:rPr>
          <w:rFonts w:ascii="Times New Roman" w:hAnsi="Times New Roman"/>
        </w:rPr>
        <w:t>act more international visitors</w:t>
      </w:r>
      <w:r w:rsidR="00656319" w:rsidRPr="00ED2414">
        <w:rPr>
          <w:rFonts w:ascii="Times New Roman" w:hAnsi="Times New Roman"/>
        </w:rPr>
        <w:t xml:space="preserve">, </w:t>
      </w:r>
      <w:r>
        <w:rPr>
          <w:rFonts w:ascii="Times New Roman" w:hAnsi="Times New Roman"/>
        </w:rPr>
        <w:t xml:space="preserve">while </w:t>
      </w:r>
      <w:r w:rsidR="00656319" w:rsidRPr="00ED2414">
        <w:rPr>
          <w:rFonts w:ascii="Times New Roman" w:hAnsi="Times New Roman"/>
        </w:rPr>
        <w:t xml:space="preserve">local visitor numbers are </w:t>
      </w:r>
      <w:r>
        <w:rPr>
          <w:rFonts w:ascii="Times New Roman" w:hAnsi="Times New Roman"/>
        </w:rPr>
        <w:t>believe</w:t>
      </w:r>
      <w:r w:rsidR="00656319" w:rsidRPr="00ED2414">
        <w:rPr>
          <w:rFonts w:ascii="Times New Roman" w:hAnsi="Times New Roman"/>
        </w:rPr>
        <w:t xml:space="preserve"> to </w:t>
      </w:r>
      <w:r>
        <w:rPr>
          <w:rFonts w:ascii="Times New Roman" w:hAnsi="Times New Roman"/>
        </w:rPr>
        <w:t xml:space="preserve">be stable </w:t>
      </w:r>
      <w:r w:rsidR="00656319" w:rsidRPr="00ED2414">
        <w:rPr>
          <w:rFonts w:ascii="Times New Roman" w:hAnsi="Times New Roman"/>
        </w:rPr>
        <w:t xml:space="preserve">as a result of the turmoil in the Canadian economy and job market.  </w:t>
      </w:r>
    </w:p>
    <w:p w14:paraId="41764D46" w14:textId="6357A559" w:rsidR="00656319" w:rsidRPr="00ED2414" w:rsidRDefault="00656319" w:rsidP="00656319">
      <w:pPr>
        <w:ind w:left="2160"/>
        <w:jc w:val="both"/>
        <w:rPr>
          <w:rFonts w:ascii="Times New Roman" w:hAnsi="Times New Roman"/>
        </w:rPr>
      </w:pPr>
    </w:p>
    <w:p w14:paraId="727F3D75" w14:textId="1B1D637B" w:rsidR="00656319" w:rsidRPr="00ED2414" w:rsidRDefault="00F712A9" w:rsidP="00656319">
      <w:pPr>
        <w:ind w:left="1872" w:firstLine="288"/>
        <w:jc w:val="both"/>
        <w:rPr>
          <w:rFonts w:ascii="Times New Roman" w:hAnsi="Times New Roman"/>
          <w:b/>
        </w:rPr>
      </w:pPr>
      <w:r>
        <w:rPr>
          <w:rFonts w:ascii="Times New Roman" w:hAnsi="Times New Roman"/>
          <w:b/>
        </w:rPr>
        <w:t>Operating Costs</w:t>
      </w:r>
    </w:p>
    <w:p w14:paraId="1665B934" w14:textId="79FCA7CF" w:rsidR="00656319" w:rsidRPr="00ED2414" w:rsidRDefault="00656319" w:rsidP="00656319">
      <w:pPr>
        <w:ind w:left="2160"/>
        <w:jc w:val="both"/>
        <w:rPr>
          <w:rFonts w:ascii="Times New Roman" w:hAnsi="Times New Roman"/>
        </w:rPr>
      </w:pPr>
      <w:r w:rsidRPr="00ED2414">
        <w:rPr>
          <w:rFonts w:ascii="Times New Roman" w:hAnsi="Times New Roman"/>
        </w:rPr>
        <w:t xml:space="preserve">WB’s </w:t>
      </w:r>
      <w:r w:rsidR="00BD37FA">
        <w:rPr>
          <w:rFonts w:ascii="Times New Roman" w:hAnsi="Times New Roman"/>
        </w:rPr>
        <w:t>o</w:t>
      </w:r>
      <w:r w:rsidR="00F712A9">
        <w:rPr>
          <w:rFonts w:ascii="Times New Roman" w:hAnsi="Times New Roman"/>
        </w:rPr>
        <w:t xml:space="preserve">perating </w:t>
      </w:r>
      <w:r w:rsidR="00BD37FA">
        <w:rPr>
          <w:rFonts w:ascii="Times New Roman" w:hAnsi="Times New Roman"/>
        </w:rPr>
        <w:t xml:space="preserve">costs </w:t>
      </w:r>
      <w:r w:rsidR="00F712A9">
        <w:rPr>
          <w:rFonts w:ascii="Times New Roman" w:hAnsi="Times New Roman"/>
        </w:rPr>
        <w:t xml:space="preserve">plus </w:t>
      </w:r>
      <w:r w:rsidRPr="00ED2414">
        <w:rPr>
          <w:rFonts w:ascii="Times New Roman" w:hAnsi="Times New Roman"/>
        </w:rPr>
        <w:t>SG&amp;A costs have been relatively stable in the pas</w:t>
      </w:r>
      <w:r w:rsidR="00F712A9">
        <w:rPr>
          <w:rFonts w:ascii="Times New Roman" w:hAnsi="Times New Roman"/>
        </w:rPr>
        <w:t>t 5 years, fluctuating around 64% with 1</w:t>
      </w:r>
      <w:r w:rsidRPr="00ED2414">
        <w:rPr>
          <w:rFonts w:ascii="Times New Roman" w:hAnsi="Times New Roman"/>
        </w:rPr>
        <w:t>%</w:t>
      </w:r>
      <w:r w:rsidR="00F712A9">
        <w:rPr>
          <w:rFonts w:ascii="Times New Roman" w:hAnsi="Times New Roman"/>
        </w:rPr>
        <w:t xml:space="preserve"> deviation</w:t>
      </w:r>
      <w:r w:rsidRPr="00ED2414">
        <w:rPr>
          <w:rFonts w:ascii="Times New Roman" w:hAnsi="Times New Roman"/>
        </w:rPr>
        <w:t xml:space="preserve">, and we don’t expect a significant </w:t>
      </w:r>
      <w:r w:rsidR="00BD37FA">
        <w:rPr>
          <w:rFonts w:ascii="Times New Roman" w:hAnsi="Times New Roman"/>
        </w:rPr>
        <w:t>increase or decrease</w:t>
      </w:r>
      <w:r w:rsidR="00F712A9">
        <w:rPr>
          <w:rFonts w:ascii="Times New Roman" w:hAnsi="Times New Roman"/>
        </w:rPr>
        <w:t xml:space="preserve"> in </w:t>
      </w:r>
      <w:r w:rsidR="00BD37FA">
        <w:rPr>
          <w:rFonts w:ascii="Times New Roman" w:hAnsi="Times New Roman"/>
        </w:rPr>
        <w:t>these major</w:t>
      </w:r>
      <w:r w:rsidR="00F712A9">
        <w:rPr>
          <w:rFonts w:ascii="Times New Roman" w:hAnsi="Times New Roman"/>
        </w:rPr>
        <w:t xml:space="preserve"> </w:t>
      </w:r>
      <w:r w:rsidRPr="00ED2414">
        <w:rPr>
          <w:rFonts w:ascii="Times New Roman" w:hAnsi="Times New Roman"/>
        </w:rPr>
        <w:t>cost</w:t>
      </w:r>
      <w:r w:rsidR="00BD37FA">
        <w:rPr>
          <w:rFonts w:ascii="Times New Roman" w:hAnsi="Times New Roman"/>
        </w:rPr>
        <w:t>s</w:t>
      </w:r>
      <w:r w:rsidRPr="00ED2414">
        <w:rPr>
          <w:rFonts w:ascii="Times New Roman" w:hAnsi="Times New Roman"/>
        </w:rPr>
        <w:t xml:space="preserve"> in the near future</w:t>
      </w:r>
      <w:r w:rsidR="00F712A9">
        <w:rPr>
          <w:rFonts w:ascii="Times New Roman" w:hAnsi="Times New Roman"/>
        </w:rPr>
        <w:t>.</w:t>
      </w:r>
    </w:p>
    <w:p w14:paraId="577EB191" w14:textId="405B8D4A" w:rsidR="00656319" w:rsidRPr="00ED2414" w:rsidRDefault="00656319" w:rsidP="00656319">
      <w:pPr>
        <w:ind w:left="2160"/>
        <w:jc w:val="both"/>
        <w:rPr>
          <w:rFonts w:ascii="Times New Roman" w:hAnsi="Times New Roman"/>
          <w:b/>
        </w:rPr>
      </w:pPr>
    </w:p>
    <w:p w14:paraId="291884F7" w14:textId="77777777" w:rsidR="008E46F3" w:rsidRDefault="008E46F3" w:rsidP="00656319">
      <w:pPr>
        <w:ind w:left="2160"/>
        <w:jc w:val="both"/>
        <w:rPr>
          <w:rFonts w:ascii="Times New Roman" w:hAnsi="Times New Roman"/>
          <w:b/>
        </w:rPr>
      </w:pPr>
    </w:p>
    <w:p w14:paraId="2CB1BDF1" w14:textId="77777777" w:rsidR="008E46F3" w:rsidRDefault="008E46F3" w:rsidP="00656319">
      <w:pPr>
        <w:ind w:left="2160"/>
        <w:jc w:val="both"/>
        <w:rPr>
          <w:rFonts w:ascii="Times New Roman" w:hAnsi="Times New Roman"/>
          <w:b/>
        </w:rPr>
      </w:pPr>
    </w:p>
    <w:p w14:paraId="326EF1ED" w14:textId="5F09FF51" w:rsidR="00656319" w:rsidRPr="00ED2414" w:rsidRDefault="00656319" w:rsidP="00656319">
      <w:pPr>
        <w:ind w:left="2160"/>
        <w:jc w:val="both"/>
        <w:rPr>
          <w:rFonts w:ascii="Times New Roman" w:hAnsi="Times New Roman"/>
          <w:b/>
        </w:rPr>
      </w:pPr>
      <w:r w:rsidRPr="00ED2414">
        <w:rPr>
          <w:rFonts w:ascii="Times New Roman" w:hAnsi="Times New Roman"/>
          <w:b/>
        </w:rPr>
        <w:t>Capital Expenditure</w:t>
      </w:r>
    </w:p>
    <w:p w14:paraId="6543DA4D" w14:textId="7C22DE2D" w:rsidR="00656319" w:rsidRDefault="00082679" w:rsidP="00656319">
      <w:pPr>
        <w:ind w:left="2160"/>
        <w:jc w:val="both"/>
        <w:rPr>
          <w:rFonts w:ascii="Times New Roman" w:hAnsi="Times New Roman"/>
        </w:rPr>
      </w:pPr>
      <w:r>
        <w:rPr>
          <w:noProof/>
          <w:lang w:val="en-CA" w:eastAsia="en-CA"/>
        </w:rPr>
        <w:drawing>
          <wp:anchor distT="0" distB="0" distL="114300" distR="114300" simplePos="0" relativeHeight="251666944" behindDoc="1" locked="0" layoutInCell="1" allowOverlap="1" wp14:anchorId="103D99BA" wp14:editId="7B191933">
            <wp:simplePos x="0" y="0"/>
            <wp:positionH relativeFrom="page">
              <wp:align>left</wp:align>
            </wp:positionH>
            <wp:positionV relativeFrom="paragraph">
              <wp:posOffset>-125826</wp:posOffset>
            </wp:positionV>
            <wp:extent cx="2044460" cy="2544792"/>
            <wp:effectExtent l="0" t="0" r="0" b="825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656319" w:rsidRPr="00ED2414">
        <w:rPr>
          <w:rFonts w:ascii="Times New Roman" w:hAnsi="Times New Roman"/>
        </w:rPr>
        <w:t>Capital Expenditure are estimated based on WB’s depreciation costs</w:t>
      </w:r>
      <w:r w:rsidR="00DC386B">
        <w:rPr>
          <w:rFonts w:ascii="Times New Roman" w:hAnsi="Times New Roman"/>
        </w:rPr>
        <w:t>. WB has gone through heavy capital i</w:t>
      </w:r>
      <w:r w:rsidR="00656319" w:rsidRPr="00ED2414">
        <w:rPr>
          <w:rFonts w:ascii="Times New Roman" w:hAnsi="Times New Roman"/>
        </w:rPr>
        <w:t>nvestment in past years, and their capacity has not been closely met. Ther</w:t>
      </w:r>
      <w:r w:rsidR="00BD37FA">
        <w:rPr>
          <w:rFonts w:ascii="Times New Roman" w:hAnsi="Times New Roman"/>
        </w:rPr>
        <w:t xml:space="preserve">efore we believe </w:t>
      </w:r>
      <w:r w:rsidR="00656319" w:rsidRPr="00ED2414">
        <w:rPr>
          <w:rFonts w:ascii="Times New Roman" w:hAnsi="Times New Roman"/>
        </w:rPr>
        <w:t xml:space="preserve">CAPEX </w:t>
      </w:r>
      <w:r w:rsidR="00BD37FA">
        <w:rPr>
          <w:rFonts w:ascii="Times New Roman" w:hAnsi="Times New Roman"/>
        </w:rPr>
        <w:t xml:space="preserve">remain low at the </w:t>
      </w:r>
      <w:r w:rsidR="00A43D61">
        <w:rPr>
          <w:rFonts w:ascii="Times New Roman" w:hAnsi="Times New Roman"/>
        </w:rPr>
        <w:t>maintenance</w:t>
      </w:r>
      <w:r w:rsidR="00BD37FA">
        <w:rPr>
          <w:rFonts w:ascii="Times New Roman" w:hAnsi="Times New Roman"/>
        </w:rPr>
        <w:t xml:space="preserve"> level</w:t>
      </w:r>
      <w:r w:rsidR="00656319" w:rsidRPr="00ED2414">
        <w:rPr>
          <w:rFonts w:ascii="Times New Roman" w:hAnsi="Times New Roman"/>
        </w:rPr>
        <w:t xml:space="preserve">, which tracks WB’s depreciation of its existing PPE. </w:t>
      </w:r>
    </w:p>
    <w:p w14:paraId="771AA791" w14:textId="0A5B5DAA" w:rsidR="00656319" w:rsidRPr="00ED2414" w:rsidRDefault="00656319" w:rsidP="00BD37FA">
      <w:pPr>
        <w:jc w:val="both"/>
        <w:rPr>
          <w:rFonts w:ascii="Times New Roman" w:hAnsi="Times New Roman"/>
          <w:b/>
        </w:rPr>
      </w:pPr>
    </w:p>
    <w:p w14:paraId="549B5F95" w14:textId="73BCE7EB" w:rsidR="00656319" w:rsidRPr="00ED2414" w:rsidRDefault="00656319" w:rsidP="00656319">
      <w:pPr>
        <w:ind w:left="2160"/>
        <w:jc w:val="both"/>
        <w:rPr>
          <w:rFonts w:ascii="Times New Roman" w:hAnsi="Times New Roman"/>
          <w:b/>
        </w:rPr>
      </w:pPr>
      <w:r w:rsidRPr="00ED2414">
        <w:rPr>
          <w:rFonts w:ascii="Times New Roman" w:hAnsi="Times New Roman"/>
          <w:b/>
        </w:rPr>
        <w:t>Weighted Average Cost of Capital</w:t>
      </w:r>
    </w:p>
    <w:p w14:paraId="36D5C897" w14:textId="33D448E9" w:rsidR="00656319" w:rsidRDefault="00656319" w:rsidP="00656319">
      <w:pPr>
        <w:ind w:left="2160"/>
        <w:jc w:val="both"/>
        <w:rPr>
          <w:rFonts w:ascii="Times New Roman" w:hAnsi="Times New Roman"/>
        </w:rPr>
      </w:pPr>
      <w:r w:rsidRPr="00ED2414">
        <w:rPr>
          <w:rFonts w:ascii="Times New Roman" w:hAnsi="Times New Roman"/>
        </w:rPr>
        <w:t xml:space="preserve">The after tax cost of debt was calculated using its most recent cost of debt of 3.98% </w:t>
      </w:r>
      <w:r w:rsidR="00BD37FA">
        <w:rPr>
          <w:rFonts w:ascii="Times New Roman" w:hAnsi="Times New Roman"/>
        </w:rPr>
        <w:t xml:space="preserve">for </w:t>
      </w:r>
      <w:r w:rsidR="00A43D61">
        <w:rPr>
          <w:rFonts w:ascii="Times New Roman" w:hAnsi="Times New Roman"/>
        </w:rPr>
        <w:t>its</w:t>
      </w:r>
      <w:r w:rsidR="00BD37FA">
        <w:rPr>
          <w:rFonts w:ascii="Times New Roman" w:hAnsi="Times New Roman"/>
        </w:rPr>
        <w:t xml:space="preserve"> current long-term loans</w:t>
      </w:r>
      <w:r w:rsidRPr="00ED2414">
        <w:rPr>
          <w:rFonts w:ascii="Times New Roman" w:hAnsi="Times New Roman"/>
        </w:rPr>
        <w:t xml:space="preserve"> </w:t>
      </w:r>
      <w:r w:rsidR="00BD37FA">
        <w:rPr>
          <w:rFonts w:ascii="Times New Roman" w:hAnsi="Times New Roman"/>
        </w:rPr>
        <w:t>taken from</w:t>
      </w:r>
      <w:r w:rsidRPr="00ED2414">
        <w:rPr>
          <w:rFonts w:ascii="Times New Roman" w:hAnsi="Times New Roman"/>
        </w:rPr>
        <w:t xml:space="preserve"> WB’s 2015 Management Discussion, and it’s tax rate of 27% is calculated using data from WB’s most recent financial report. The target capital structure is calculated using its most recent long-term debt amount divided by the most recent market value of its equities.</w:t>
      </w:r>
    </w:p>
    <w:p w14:paraId="7598179E" w14:textId="22C45231" w:rsidR="00076A9F" w:rsidRPr="00ED2414" w:rsidRDefault="00076A9F" w:rsidP="00656319">
      <w:pPr>
        <w:ind w:left="2160"/>
        <w:jc w:val="both"/>
        <w:rPr>
          <w:rFonts w:ascii="Times New Roman" w:hAnsi="Times New Roman"/>
        </w:rPr>
      </w:pPr>
    </w:p>
    <w:p w14:paraId="16DEFC49" w14:textId="77777777" w:rsidR="00395F84" w:rsidRDefault="00076A9F" w:rsidP="00076A9F">
      <w:pPr>
        <w:ind w:left="2160"/>
        <w:jc w:val="both"/>
        <w:rPr>
          <w:rFonts w:ascii="Times New Roman" w:hAnsi="Times New Roman"/>
        </w:rPr>
      </w:pPr>
      <w:r w:rsidRPr="00ED2414">
        <w:rPr>
          <w:rFonts w:ascii="Times New Roman" w:hAnsi="Times New Roman"/>
        </w:rPr>
        <w:t xml:space="preserve">The cost of equity was calculated using the Capital Asset Pricing Model (CAPM). </w:t>
      </w:r>
      <w:r w:rsidR="00F712A9">
        <w:rPr>
          <w:rFonts w:ascii="Times New Roman" w:hAnsi="Times New Roman"/>
        </w:rPr>
        <w:t>The current</w:t>
      </w:r>
      <w:r w:rsidRPr="00ED2414">
        <w:rPr>
          <w:rFonts w:ascii="Times New Roman" w:hAnsi="Times New Roman"/>
        </w:rPr>
        <w:t xml:space="preserve"> 10-yea</w:t>
      </w:r>
      <w:r w:rsidR="00267A95">
        <w:rPr>
          <w:rFonts w:ascii="Times New Roman" w:hAnsi="Times New Roman"/>
        </w:rPr>
        <w:t xml:space="preserve">r Canadian Bond Yield </w:t>
      </w:r>
      <w:r w:rsidR="00F712A9">
        <w:rPr>
          <w:rFonts w:ascii="Times New Roman" w:hAnsi="Times New Roman"/>
        </w:rPr>
        <w:t>is</w:t>
      </w:r>
      <w:r w:rsidR="00267A95">
        <w:rPr>
          <w:rFonts w:ascii="Times New Roman" w:hAnsi="Times New Roman"/>
        </w:rPr>
        <w:t xml:space="preserve"> 1.32%</w:t>
      </w:r>
      <w:r w:rsidR="00F712A9">
        <w:rPr>
          <w:rFonts w:ascii="Times New Roman" w:hAnsi="Times New Roman"/>
        </w:rPr>
        <w:t xml:space="preserve">, however </w:t>
      </w:r>
      <w:r w:rsidR="00DC386B">
        <w:rPr>
          <w:rFonts w:ascii="Times New Roman" w:hAnsi="Times New Roman"/>
        </w:rPr>
        <w:t>we believe this</w:t>
      </w:r>
      <w:r w:rsidR="00F712A9">
        <w:rPr>
          <w:rFonts w:ascii="Times New Roman" w:hAnsi="Times New Roman"/>
        </w:rPr>
        <w:t xml:space="preserve"> historical low number is not an accurate reflection of the forward risk-free rate in Canada, therefore we have taken the risk-free rate of 3% to reflect likely future rate hikes.</w:t>
      </w:r>
    </w:p>
    <w:p w14:paraId="5D05FC33" w14:textId="16F6F1D6" w:rsidR="00076A9F" w:rsidRPr="001018E6" w:rsidRDefault="00F712A9" w:rsidP="001018E6">
      <w:pPr>
        <w:ind w:left="2160"/>
        <w:jc w:val="both"/>
        <w:rPr>
          <w:rFonts w:ascii="Times New Roman" w:hAnsi="Times New Roman"/>
          <w:color w:val="FF0000"/>
        </w:rPr>
      </w:pPr>
      <w:r>
        <w:rPr>
          <w:rFonts w:ascii="Times New Roman" w:hAnsi="Times New Roman"/>
        </w:rPr>
        <w:t xml:space="preserve"> </w:t>
      </w:r>
    </w:p>
    <w:tbl>
      <w:tblPr>
        <w:tblpPr w:leftFromText="180" w:rightFromText="180" w:vertAnchor="text" w:horzAnchor="page" w:tblpX="341" w:tblpY="-59"/>
        <w:tblW w:w="2754" w:type="dxa"/>
        <w:tblLook w:val="04A0" w:firstRow="1" w:lastRow="0" w:firstColumn="1" w:lastColumn="0" w:noHBand="0" w:noVBand="1"/>
      </w:tblPr>
      <w:tblGrid>
        <w:gridCol w:w="1477"/>
        <w:gridCol w:w="1277"/>
      </w:tblGrid>
      <w:tr w:rsidR="00082679" w:rsidRPr="00395F84" w14:paraId="6E6F919D" w14:textId="77777777" w:rsidTr="00082679">
        <w:trPr>
          <w:trHeight w:val="320"/>
        </w:trPr>
        <w:tc>
          <w:tcPr>
            <w:tcW w:w="2754" w:type="dxa"/>
            <w:gridSpan w:val="2"/>
            <w:tcBorders>
              <w:top w:val="nil"/>
              <w:left w:val="nil"/>
              <w:right w:val="nil"/>
            </w:tcBorders>
            <w:shd w:val="clear" w:color="000000" w:fill="203764"/>
            <w:noWrap/>
            <w:vAlign w:val="bottom"/>
            <w:hideMark/>
          </w:tcPr>
          <w:p w14:paraId="16D11717" w14:textId="77777777" w:rsidR="00082679" w:rsidRPr="00395F84" w:rsidRDefault="00082679" w:rsidP="00082679">
            <w:pPr>
              <w:jc w:val="center"/>
              <w:rPr>
                <w:rFonts w:ascii="Times New Roman" w:eastAsia="Times New Roman" w:hAnsi="Times New Roman"/>
                <w:b/>
                <w:bCs/>
                <w:color w:val="FFFFFF"/>
              </w:rPr>
            </w:pPr>
            <w:r w:rsidRPr="00395F84">
              <w:rPr>
                <w:rFonts w:ascii="Times New Roman" w:eastAsia="Times New Roman" w:hAnsi="Times New Roman"/>
                <w:b/>
                <w:bCs/>
                <w:color w:val="FFFFFF"/>
              </w:rPr>
              <w:t>Assumptions</w:t>
            </w:r>
          </w:p>
        </w:tc>
      </w:tr>
      <w:tr w:rsidR="00082679" w:rsidRPr="00395F84" w14:paraId="295C14EC" w14:textId="77777777" w:rsidTr="00082679">
        <w:trPr>
          <w:trHeight w:val="305"/>
        </w:trPr>
        <w:tc>
          <w:tcPr>
            <w:tcW w:w="1477" w:type="dxa"/>
            <w:tcBorders>
              <w:top w:val="nil"/>
              <w:left w:val="nil"/>
              <w:bottom w:val="single" w:sz="4" w:space="0" w:color="auto"/>
              <w:right w:val="nil"/>
            </w:tcBorders>
            <w:shd w:val="clear" w:color="000000" w:fill="FFFFFF"/>
            <w:noWrap/>
            <w:vAlign w:val="bottom"/>
            <w:hideMark/>
          </w:tcPr>
          <w:p w14:paraId="49322015" w14:textId="77777777" w:rsidR="00082679" w:rsidRPr="00395F84" w:rsidRDefault="00082679" w:rsidP="00082679">
            <w:pPr>
              <w:rPr>
                <w:rFonts w:ascii="Times New Roman" w:eastAsia="Times New Roman" w:hAnsi="Times New Roman"/>
                <w:color w:val="000000"/>
              </w:rPr>
            </w:pPr>
            <w:r>
              <w:rPr>
                <w:rFonts w:ascii="Times New Roman" w:eastAsia="Times New Roman" w:hAnsi="Times New Roman"/>
                <w:color w:val="000000"/>
              </w:rPr>
              <w:t>Risk Free Rate</w:t>
            </w:r>
          </w:p>
        </w:tc>
        <w:tc>
          <w:tcPr>
            <w:tcW w:w="1277" w:type="dxa"/>
            <w:tcBorders>
              <w:top w:val="nil"/>
              <w:left w:val="nil"/>
              <w:bottom w:val="single" w:sz="4" w:space="0" w:color="auto"/>
              <w:right w:val="nil"/>
            </w:tcBorders>
            <w:shd w:val="clear" w:color="000000" w:fill="FFFFFF"/>
            <w:noWrap/>
            <w:vAlign w:val="bottom"/>
            <w:hideMark/>
          </w:tcPr>
          <w:p w14:paraId="23059CC6"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3.00%</w:t>
            </w:r>
          </w:p>
        </w:tc>
      </w:tr>
      <w:tr w:rsidR="00082679" w:rsidRPr="00395F84" w14:paraId="77767E61" w14:textId="77777777" w:rsidTr="00082679">
        <w:trPr>
          <w:trHeight w:val="290"/>
        </w:trPr>
        <w:tc>
          <w:tcPr>
            <w:tcW w:w="1477" w:type="dxa"/>
            <w:tcBorders>
              <w:top w:val="single" w:sz="4" w:space="0" w:color="auto"/>
              <w:left w:val="nil"/>
              <w:bottom w:val="single" w:sz="4" w:space="0" w:color="auto"/>
              <w:right w:val="nil"/>
            </w:tcBorders>
            <w:shd w:val="clear" w:color="000000" w:fill="FFFFFF"/>
            <w:noWrap/>
            <w:vAlign w:val="bottom"/>
            <w:hideMark/>
          </w:tcPr>
          <w:p w14:paraId="4C9B7607" w14:textId="77777777" w:rsidR="00082679" w:rsidRPr="00395F84" w:rsidRDefault="00082679" w:rsidP="00082679">
            <w:pPr>
              <w:rPr>
                <w:rFonts w:ascii="Times New Roman" w:eastAsia="Times New Roman" w:hAnsi="Times New Roman"/>
                <w:color w:val="000000"/>
              </w:rPr>
            </w:pPr>
            <w:r w:rsidRPr="00395F84">
              <w:rPr>
                <w:rFonts w:ascii="Times New Roman" w:eastAsia="Times New Roman" w:hAnsi="Times New Roman"/>
                <w:color w:val="000000"/>
              </w:rPr>
              <w:t>Risk Premium</w:t>
            </w:r>
          </w:p>
        </w:tc>
        <w:tc>
          <w:tcPr>
            <w:tcW w:w="1277" w:type="dxa"/>
            <w:tcBorders>
              <w:top w:val="single" w:sz="4" w:space="0" w:color="auto"/>
              <w:left w:val="nil"/>
              <w:bottom w:val="single" w:sz="4" w:space="0" w:color="auto"/>
              <w:right w:val="nil"/>
            </w:tcBorders>
            <w:shd w:val="clear" w:color="000000" w:fill="FFFFFF"/>
            <w:noWrap/>
            <w:vAlign w:val="bottom"/>
            <w:hideMark/>
          </w:tcPr>
          <w:p w14:paraId="030BD1A6"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6.50%</w:t>
            </w:r>
          </w:p>
        </w:tc>
      </w:tr>
      <w:tr w:rsidR="00082679" w:rsidRPr="00395F84" w14:paraId="5EDD512F" w14:textId="77777777" w:rsidTr="00082679">
        <w:trPr>
          <w:trHeight w:val="305"/>
        </w:trPr>
        <w:tc>
          <w:tcPr>
            <w:tcW w:w="1477" w:type="dxa"/>
            <w:tcBorders>
              <w:top w:val="single" w:sz="4" w:space="0" w:color="auto"/>
              <w:left w:val="nil"/>
              <w:bottom w:val="single" w:sz="4" w:space="0" w:color="auto"/>
              <w:right w:val="nil"/>
            </w:tcBorders>
            <w:shd w:val="clear" w:color="000000" w:fill="FFFFFF"/>
            <w:noWrap/>
            <w:vAlign w:val="bottom"/>
            <w:hideMark/>
          </w:tcPr>
          <w:p w14:paraId="17DB4E79" w14:textId="77777777" w:rsidR="00082679" w:rsidRPr="00395F84" w:rsidRDefault="00082679" w:rsidP="00082679">
            <w:pPr>
              <w:rPr>
                <w:rFonts w:ascii="Times New Roman" w:eastAsia="Times New Roman" w:hAnsi="Times New Roman"/>
                <w:color w:val="000000"/>
              </w:rPr>
            </w:pPr>
            <w:r>
              <w:rPr>
                <w:rFonts w:ascii="Times New Roman" w:eastAsia="Times New Roman" w:hAnsi="Times New Roman"/>
                <w:color w:val="000000"/>
              </w:rPr>
              <w:t xml:space="preserve">Expected Market </w:t>
            </w:r>
            <w:r w:rsidRPr="00395F84">
              <w:rPr>
                <w:rFonts w:ascii="Times New Roman" w:eastAsia="Times New Roman" w:hAnsi="Times New Roman"/>
                <w:color w:val="000000"/>
              </w:rPr>
              <w:t>Return</w:t>
            </w:r>
          </w:p>
        </w:tc>
        <w:tc>
          <w:tcPr>
            <w:tcW w:w="1277" w:type="dxa"/>
            <w:tcBorders>
              <w:top w:val="single" w:sz="4" w:space="0" w:color="auto"/>
              <w:left w:val="nil"/>
              <w:bottom w:val="single" w:sz="4" w:space="0" w:color="auto"/>
              <w:right w:val="nil"/>
            </w:tcBorders>
            <w:shd w:val="clear" w:color="000000" w:fill="FFFFFF"/>
            <w:noWrap/>
            <w:vAlign w:val="bottom"/>
            <w:hideMark/>
          </w:tcPr>
          <w:p w14:paraId="535E2C7B"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9.50%</w:t>
            </w:r>
          </w:p>
        </w:tc>
      </w:tr>
      <w:tr w:rsidR="00082679" w:rsidRPr="00395F84" w14:paraId="7DDB34A2" w14:textId="77777777" w:rsidTr="00082679">
        <w:trPr>
          <w:trHeight w:val="305"/>
        </w:trPr>
        <w:tc>
          <w:tcPr>
            <w:tcW w:w="1477" w:type="dxa"/>
            <w:tcBorders>
              <w:top w:val="single" w:sz="4" w:space="0" w:color="auto"/>
              <w:left w:val="nil"/>
              <w:bottom w:val="single" w:sz="4" w:space="0" w:color="auto"/>
              <w:right w:val="nil"/>
            </w:tcBorders>
            <w:shd w:val="clear" w:color="000000" w:fill="FFFFFF"/>
            <w:noWrap/>
            <w:vAlign w:val="bottom"/>
            <w:hideMark/>
          </w:tcPr>
          <w:p w14:paraId="6B80647E" w14:textId="77777777" w:rsidR="00082679" w:rsidRPr="00395F84" w:rsidRDefault="00082679" w:rsidP="00082679">
            <w:pPr>
              <w:rPr>
                <w:rFonts w:ascii="Times New Roman" w:eastAsia="Times New Roman" w:hAnsi="Times New Roman"/>
                <w:color w:val="000000"/>
              </w:rPr>
            </w:pPr>
            <w:r w:rsidRPr="00395F84">
              <w:rPr>
                <w:rFonts w:ascii="Times New Roman" w:eastAsia="Times New Roman" w:hAnsi="Times New Roman"/>
                <w:color w:val="000000"/>
              </w:rPr>
              <w:t>Beta</w:t>
            </w:r>
          </w:p>
        </w:tc>
        <w:tc>
          <w:tcPr>
            <w:tcW w:w="1277" w:type="dxa"/>
            <w:tcBorders>
              <w:top w:val="single" w:sz="4" w:space="0" w:color="auto"/>
              <w:left w:val="nil"/>
              <w:bottom w:val="single" w:sz="4" w:space="0" w:color="auto"/>
              <w:right w:val="nil"/>
            </w:tcBorders>
            <w:shd w:val="clear" w:color="000000" w:fill="FFFFFF"/>
            <w:noWrap/>
            <w:vAlign w:val="bottom"/>
            <w:hideMark/>
          </w:tcPr>
          <w:p w14:paraId="379C2F9C"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0.</w:t>
            </w:r>
            <w:r>
              <w:rPr>
                <w:rFonts w:ascii="Times New Roman" w:eastAsia="Times New Roman" w:hAnsi="Times New Roman"/>
                <w:color w:val="000000"/>
              </w:rPr>
              <w:t>8</w:t>
            </w:r>
          </w:p>
        </w:tc>
      </w:tr>
      <w:tr w:rsidR="00082679" w:rsidRPr="00395F84" w14:paraId="600AD394" w14:textId="77777777" w:rsidTr="00082679">
        <w:trPr>
          <w:trHeight w:val="305"/>
        </w:trPr>
        <w:tc>
          <w:tcPr>
            <w:tcW w:w="1477" w:type="dxa"/>
            <w:tcBorders>
              <w:top w:val="single" w:sz="4" w:space="0" w:color="auto"/>
              <w:left w:val="nil"/>
              <w:bottom w:val="single" w:sz="4" w:space="0" w:color="auto"/>
              <w:right w:val="nil"/>
            </w:tcBorders>
            <w:shd w:val="clear" w:color="000000" w:fill="FFFFFF"/>
            <w:noWrap/>
            <w:vAlign w:val="bottom"/>
            <w:hideMark/>
          </w:tcPr>
          <w:p w14:paraId="5D7F1732" w14:textId="77777777" w:rsidR="00082679" w:rsidRPr="00395F84" w:rsidRDefault="00082679" w:rsidP="00082679">
            <w:pPr>
              <w:rPr>
                <w:rFonts w:ascii="Times New Roman" w:eastAsia="Times New Roman" w:hAnsi="Times New Roman"/>
                <w:b/>
                <w:bCs/>
                <w:color w:val="000000"/>
              </w:rPr>
            </w:pPr>
            <w:r w:rsidRPr="00395F84">
              <w:rPr>
                <w:rFonts w:ascii="Times New Roman" w:eastAsia="Times New Roman" w:hAnsi="Times New Roman"/>
                <w:b/>
                <w:bCs/>
                <w:color w:val="000000"/>
              </w:rPr>
              <w:t>Cost of Equity</w:t>
            </w:r>
          </w:p>
        </w:tc>
        <w:tc>
          <w:tcPr>
            <w:tcW w:w="1277" w:type="dxa"/>
            <w:tcBorders>
              <w:top w:val="single" w:sz="4" w:space="0" w:color="auto"/>
              <w:left w:val="nil"/>
              <w:bottom w:val="single" w:sz="4" w:space="0" w:color="auto"/>
              <w:right w:val="nil"/>
            </w:tcBorders>
            <w:shd w:val="clear" w:color="000000" w:fill="B4C6E7"/>
            <w:noWrap/>
            <w:vAlign w:val="bottom"/>
            <w:hideMark/>
          </w:tcPr>
          <w:p w14:paraId="6FA9CC2D" w14:textId="77777777" w:rsidR="00082679" w:rsidRPr="00395F84" w:rsidRDefault="00082679" w:rsidP="00082679">
            <w:pPr>
              <w:jc w:val="right"/>
              <w:rPr>
                <w:rFonts w:ascii="Times New Roman" w:eastAsia="Times New Roman" w:hAnsi="Times New Roman"/>
                <w:color w:val="000000"/>
              </w:rPr>
            </w:pPr>
            <w:r>
              <w:rPr>
                <w:rFonts w:ascii="Times New Roman" w:eastAsia="Times New Roman" w:hAnsi="Times New Roman"/>
                <w:color w:val="000000"/>
              </w:rPr>
              <w:t>8.20</w:t>
            </w:r>
            <w:r w:rsidRPr="00395F84">
              <w:rPr>
                <w:rFonts w:ascii="Times New Roman" w:eastAsia="Times New Roman" w:hAnsi="Times New Roman"/>
                <w:color w:val="000000"/>
              </w:rPr>
              <w:t>%</w:t>
            </w:r>
          </w:p>
        </w:tc>
      </w:tr>
      <w:tr w:rsidR="00082679" w:rsidRPr="00395F84" w14:paraId="192C5948" w14:textId="77777777" w:rsidTr="00082679">
        <w:trPr>
          <w:trHeight w:val="305"/>
        </w:trPr>
        <w:tc>
          <w:tcPr>
            <w:tcW w:w="1477" w:type="dxa"/>
            <w:tcBorders>
              <w:top w:val="single" w:sz="4" w:space="0" w:color="auto"/>
              <w:left w:val="nil"/>
              <w:bottom w:val="single" w:sz="4" w:space="0" w:color="auto"/>
              <w:right w:val="nil"/>
            </w:tcBorders>
            <w:shd w:val="clear" w:color="000000" w:fill="FFFFFF"/>
            <w:noWrap/>
            <w:vAlign w:val="bottom"/>
            <w:hideMark/>
          </w:tcPr>
          <w:p w14:paraId="1A63D113" w14:textId="77777777" w:rsidR="00082679" w:rsidRPr="00395F84" w:rsidRDefault="00082679" w:rsidP="00082679">
            <w:pPr>
              <w:rPr>
                <w:rFonts w:ascii="Times New Roman" w:eastAsia="Times New Roman" w:hAnsi="Times New Roman"/>
                <w:color w:val="000000"/>
              </w:rPr>
            </w:pPr>
            <w:r w:rsidRPr="00395F84">
              <w:rPr>
                <w:rFonts w:ascii="Times New Roman" w:eastAsia="Times New Roman" w:hAnsi="Times New Roman"/>
                <w:color w:val="000000"/>
              </w:rPr>
              <w:t>Cost of Debt</w:t>
            </w:r>
          </w:p>
        </w:tc>
        <w:tc>
          <w:tcPr>
            <w:tcW w:w="1277" w:type="dxa"/>
            <w:tcBorders>
              <w:top w:val="single" w:sz="4" w:space="0" w:color="auto"/>
              <w:left w:val="nil"/>
              <w:bottom w:val="single" w:sz="4" w:space="0" w:color="auto"/>
              <w:right w:val="nil"/>
            </w:tcBorders>
            <w:shd w:val="clear" w:color="000000" w:fill="FFFFFF"/>
            <w:noWrap/>
            <w:vAlign w:val="bottom"/>
            <w:hideMark/>
          </w:tcPr>
          <w:p w14:paraId="0258867F"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3.98%</w:t>
            </w:r>
          </w:p>
        </w:tc>
      </w:tr>
      <w:tr w:rsidR="00082679" w:rsidRPr="00395F84" w14:paraId="236B1FC3" w14:textId="77777777" w:rsidTr="00082679">
        <w:trPr>
          <w:trHeight w:val="305"/>
        </w:trPr>
        <w:tc>
          <w:tcPr>
            <w:tcW w:w="1477" w:type="dxa"/>
            <w:tcBorders>
              <w:top w:val="single" w:sz="4" w:space="0" w:color="auto"/>
              <w:left w:val="nil"/>
              <w:bottom w:val="single" w:sz="4" w:space="0" w:color="auto"/>
              <w:right w:val="nil"/>
            </w:tcBorders>
            <w:shd w:val="clear" w:color="000000" w:fill="FFFFFF"/>
            <w:noWrap/>
            <w:vAlign w:val="bottom"/>
            <w:hideMark/>
          </w:tcPr>
          <w:p w14:paraId="5569D9E7" w14:textId="77777777" w:rsidR="00082679" w:rsidRPr="00395F84" w:rsidRDefault="00082679" w:rsidP="00082679">
            <w:pPr>
              <w:rPr>
                <w:rFonts w:ascii="Times New Roman" w:eastAsia="Times New Roman" w:hAnsi="Times New Roman"/>
                <w:color w:val="000000"/>
              </w:rPr>
            </w:pPr>
            <w:r w:rsidRPr="00395F84">
              <w:rPr>
                <w:rFonts w:ascii="Times New Roman" w:eastAsia="Times New Roman" w:hAnsi="Times New Roman"/>
                <w:color w:val="000000"/>
              </w:rPr>
              <w:t>Tax Rate</w:t>
            </w:r>
          </w:p>
        </w:tc>
        <w:tc>
          <w:tcPr>
            <w:tcW w:w="1277" w:type="dxa"/>
            <w:tcBorders>
              <w:top w:val="single" w:sz="4" w:space="0" w:color="auto"/>
              <w:left w:val="nil"/>
              <w:bottom w:val="single" w:sz="4" w:space="0" w:color="auto"/>
              <w:right w:val="nil"/>
            </w:tcBorders>
            <w:shd w:val="clear" w:color="000000" w:fill="FFFFFF"/>
            <w:noWrap/>
            <w:vAlign w:val="bottom"/>
            <w:hideMark/>
          </w:tcPr>
          <w:p w14:paraId="58D94CFB"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27.20%</w:t>
            </w:r>
          </w:p>
        </w:tc>
      </w:tr>
      <w:tr w:rsidR="00082679" w:rsidRPr="00395F84" w14:paraId="54C08D30" w14:textId="77777777" w:rsidTr="00082679">
        <w:trPr>
          <w:trHeight w:val="171"/>
        </w:trPr>
        <w:tc>
          <w:tcPr>
            <w:tcW w:w="1477" w:type="dxa"/>
            <w:tcBorders>
              <w:top w:val="single" w:sz="4" w:space="0" w:color="auto"/>
              <w:left w:val="nil"/>
              <w:bottom w:val="single" w:sz="4" w:space="0" w:color="auto"/>
              <w:right w:val="nil"/>
            </w:tcBorders>
            <w:shd w:val="clear" w:color="000000" w:fill="FFFFFF"/>
            <w:noWrap/>
            <w:vAlign w:val="bottom"/>
            <w:hideMark/>
          </w:tcPr>
          <w:p w14:paraId="5FAE48DD" w14:textId="77777777" w:rsidR="00082679" w:rsidRPr="00395F84" w:rsidRDefault="00082679" w:rsidP="00082679">
            <w:pPr>
              <w:rPr>
                <w:rFonts w:ascii="Times New Roman" w:eastAsia="Times New Roman" w:hAnsi="Times New Roman"/>
                <w:b/>
                <w:bCs/>
                <w:color w:val="000000"/>
              </w:rPr>
            </w:pPr>
            <w:r w:rsidRPr="00395F84">
              <w:rPr>
                <w:rFonts w:ascii="Times New Roman" w:eastAsia="Times New Roman" w:hAnsi="Times New Roman"/>
                <w:b/>
                <w:bCs/>
                <w:color w:val="000000"/>
              </w:rPr>
              <w:t>After-Tax Cost of Debt</w:t>
            </w:r>
          </w:p>
        </w:tc>
        <w:tc>
          <w:tcPr>
            <w:tcW w:w="1277" w:type="dxa"/>
            <w:tcBorders>
              <w:top w:val="single" w:sz="4" w:space="0" w:color="auto"/>
              <w:left w:val="nil"/>
              <w:bottom w:val="single" w:sz="4" w:space="0" w:color="auto"/>
              <w:right w:val="nil"/>
            </w:tcBorders>
            <w:shd w:val="clear" w:color="000000" w:fill="B4C6E7"/>
            <w:noWrap/>
            <w:vAlign w:val="bottom"/>
            <w:hideMark/>
          </w:tcPr>
          <w:p w14:paraId="3C2E3C00"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2.90%</w:t>
            </w:r>
          </w:p>
        </w:tc>
      </w:tr>
      <w:tr w:rsidR="00082679" w:rsidRPr="00395F84" w14:paraId="06A25E18" w14:textId="77777777" w:rsidTr="00082679">
        <w:trPr>
          <w:trHeight w:val="419"/>
        </w:trPr>
        <w:tc>
          <w:tcPr>
            <w:tcW w:w="1477" w:type="dxa"/>
            <w:tcBorders>
              <w:top w:val="single" w:sz="4" w:space="0" w:color="auto"/>
              <w:left w:val="nil"/>
              <w:bottom w:val="single" w:sz="4" w:space="0" w:color="auto"/>
              <w:right w:val="nil"/>
            </w:tcBorders>
            <w:shd w:val="clear" w:color="000000" w:fill="FFFFFF"/>
            <w:noWrap/>
            <w:vAlign w:val="bottom"/>
            <w:hideMark/>
          </w:tcPr>
          <w:p w14:paraId="79F54553" w14:textId="77777777" w:rsidR="00082679" w:rsidRPr="00395F84" w:rsidRDefault="00082679" w:rsidP="00082679">
            <w:pPr>
              <w:rPr>
                <w:rFonts w:ascii="Times New Roman" w:eastAsia="Times New Roman" w:hAnsi="Times New Roman"/>
                <w:color w:val="000000"/>
              </w:rPr>
            </w:pPr>
            <w:r w:rsidRPr="00395F84">
              <w:rPr>
                <w:rFonts w:ascii="Times New Roman" w:eastAsia="Times New Roman" w:hAnsi="Times New Roman"/>
                <w:color w:val="000000"/>
              </w:rPr>
              <w:t>Market Cap</w:t>
            </w:r>
          </w:p>
        </w:tc>
        <w:tc>
          <w:tcPr>
            <w:tcW w:w="1277" w:type="dxa"/>
            <w:tcBorders>
              <w:top w:val="single" w:sz="4" w:space="0" w:color="auto"/>
              <w:left w:val="nil"/>
              <w:bottom w:val="single" w:sz="4" w:space="0" w:color="auto"/>
              <w:right w:val="nil"/>
            </w:tcBorders>
            <w:shd w:val="clear" w:color="000000" w:fill="FFFFFF"/>
            <w:noWrap/>
            <w:vAlign w:val="bottom"/>
            <w:hideMark/>
          </w:tcPr>
          <w:p w14:paraId="517167A7"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 xml:space="preserve">                       878.30 </w:t>
            </w:r>
          </w:p>
        </w:tc>
      </w:tr>
      <w:tr w:rsidR="00082679" w:rsidRPr="00395F84" w14:paraId="4869F76D" w14:textId="77777777" w:rsidTr="00082679">
        <w:trPr>
          <w:trHeight w:val="290"/>
        </w:trPr>
        <w:tc>
          <w:tcPr>
            <w:tcW w:w="1477" w:type="dxa"/>
            <w:tcBorders>
              <w:top w:val="single" w:sz="4" w:space="0" w:color="auto"/>
              <w:left w:val="nil"/>
              <w:bottom w:val="single" w:sz="4" w:space="0" w:color="auto"/>
              <w:right w:val="nil"/>
            </w:tcBorders>
            <w:shd w:val="clear" w:color="000000" w:fill="FFFFFF"/>
            <w:noWrap/>
            <w:vAlign w:val="bottom"/>
            <w:hideMark/>
          </w:tcPr>
          <w:p w14:paraId="1E006BD4" w14:textId="77777777" w:rsidR="00082679" w:rsidRPr="00395F84" w:rsidRDefault="00082679" w:rsidP="00082679">
            <w:pPr>
              <w:rPr>
                <w:rFonts w:ascii="Times New Roman" w:eastAsia="Times New Roman" w:hAnsi="Times New Roman"/>
                <w:color w:val="000000"/>
              </w:rPr>
            </w:pPr>
            <w:r>
              <w:rPr>
                <w:rFonts w:ascii="Times New Roman" w:eastAsia="Times New Roman" w:hAnsi="Times New Roman"/>
                <w:color w:val="000000"/>
              </w:rPr>
              <w:t xml:space="preserve">Debt to </w:t>
            </w:r>
            <w:r w:rsidRPr="00395F84">
              <w:rPr>
                <w:rFonts w:ascii="Times New Roman" w:eastAsia="Times New Roman" w:hAnsi="Times New Roman"/>
                <w:color w:val="000000"/>
              </w:rPr>
              <w:t>Equity Ratio</w:t>
            </w:r>
          </w:p>
        </w:tc>
        <w:tc>
          <w:tcPr>
            <w:tcW w:w="1277" w:type="dxa"/>
            <w:tcBorders>
              <w:top w:val="single" w:sz="4" w:space="0" w:color="auto"/>
              <w:left w:val="nil"/>
              <w:bottom w:val="single" w:sz="4" w:space="0" w:color="auto"/>
              <w:right w:val="nil"/>
            </w:tcBorders>
            <w:shd w:val="clear" w:color="000000" w:fill="FFFFFF"/>
            <w:noWrap/>
            <w:vAlign w:val="bottom"/>
            <w:hideMark/>
          </w:tcPr>
          <w:p w14:paraId="113564D5"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 xml:space="preserve">                           0.26 </w:t>
            </w:r>
          </w:p>
        </w:tc>
      </w:tr>
      <w:tr w:rsidR="00082679" w:rsidRPr="00395F84" w14:paraId="3DAA2E3F" w14:textId="77777777" w:rsidTr="00082679">
        <w:trPr>
          <w:trHeight w:val="305"/>
        </w:trPr>
        <w:tc>
          <w:tcPr>
            <w:tcW w:w="1477" w:type="dxa"/>
            <w:tcBorders>
              <w:top w:val="single" w:sz="4" w:space="0" w:color="auto"/>
              <w:left w:val="nil"/>
              <w:bottom w:val="single" w:sz="4" w:space="0" w:color="auto"/>
              <w:right w:val="nil"/>
            </w:tcBorders>
            <w:shd w:val="clear" w:color="000000" w:fill="FFFFFF"/>
            <w:noWrap/>
            <w:vAlign w:val="bottom"/>
            <w:hideMark/>
          </w:tcPr>
          <w:p w14:paraId="2445E558" w14:textId="77777777" w:rsidR="00082679" w:rsidRPr="00395F84" w:rsidRDefault="00082679" w:rsidP="00082679">
            <w:pPr>
              <w:rPr>
                <w:rFonts w:ascii="Times New Roman" w:eastAsia="Times New Roman" w:hAnsi="Times New Roman"/>
                <w:b/>
                <w:bCs/>
                <w:color w:val="000000"/>
              </w:rPr>
            </w:pPr>
            <w:r w:rsidRPr="00395F84">
              <w:rPr>
                <w:rFonts w:ascii="Times New Roman" w:eastAsia="Times New Roman" w:hAnsi="Times New Roman"/>
                <w:b/>
                <w:bCs/>
                <w:color w:val="000000"/>
              </w:rPr>
              <w:t>WACC</w:t>
            </w:r>
          </w:p>
        </w:tc>
        <w:tc>
          <w:tcPr>
            <w:tcW w:w="1277" w:type="dxa"/>
            <w:tcBorders>
              <w:top w:val="single" w:sz="4" w:space="0" w:color="auto"/>
              <w:left w:val="nil"/>
              <w:bottom w:val="single" w:sz="4" w:space="0" w:color="auto"/>
              <w:right w:val="nil"/>
            </w:tcBorders>
            <w:shd w:val="clear" w:color="000000" w:fill="B4C6E7"/>
            <w:noWrap/>
            <w:vAlign w:val="bottom"/>
            <w:hideMark/>
          </w:tcPr>
          <w:p w14:paraId="287C2528" w14:textId="77777777" w:rsidR="00082679" w:rsidRPr="00395F84" w:rsidRDefault="00082679" w:rsidP="00082679">
            <w:pPr>
              <w:jc w:val="right"/>
              <w:rPr>
                <w:rFonts w:ascii="Times New Roman" w:eastAsia="Times New Roman" w:hAnsi="Times New Roman"/>
                <w:color w:val="000000"/>
              </w:rPr>
            </w:pPr>
            <w:r>
              <w:rPr>
                <w:rFonts w:ascii="Times New Roman" w:eastAsia="Times New Roman" w:hAnsi="Times New Roman"/>
                <w:color w:val="000000"/>
              </w:rPr>
              <w:t>7.09</w:t>
            </w:r>
            <w:r w:rsidRPr="00395F84">
              <w:rPr>
                <w:rFonts w:ascii="Times New Roman" w:eastAsia="Times New Roman" w:hAnsi="Times New Roman"/>
                <w:color w:val="000000"/>
              </w:rPr>
              <w:t>%</w:t>
            </w:r>
          </w:p>
        </w:tc>
      </w:tr>
      <w:tr w:rsidR="00082679" w:rsidRPr="00395F84" w14:paraId="5736790E" w14:textId="77777777" w:rsidTr="00082679">
        <w:trPr>
          <w:trHeight w:val="290"/>
        </w:trPr>
        <w:tc>
          <w:tcPr>
            <w:tcW w:w="1477" w:type="dxa"/>
            <w:tcBorders>
              <w:top w:val="single" w:sz="4" w:space="0" w:color="auto"/>
              <w:left w:val="nil"/>
              <w:bottom w:val="single" w:sz="4" w:space="0" w:color="auto"/>
              <w:right w:val="nil"/>
            </w:tcBorders>
            <w:shd w:val="clear" w:color="000000" w:fill="FFFFFF"/>
            <w:noWrap/>
            <w:vAlign w:val="bottom"/>
            <w:hideMark/>
          </w:tcPr>
          <w:p w14:paraId="44BD0200" w14:textId="3107F507" w:rsidR="00082679" w:rsidRPr="00395F84" w:rsidRDefault="00A43D61" w:rsidP="00082679">
            <w:pPr>
              <w:rPr>
                <w:rFonts w:ascii="Times New Roman" w:eastAsia="Times New Roman" w:hAnsi="Times New Roman"/>
                <w:color w:val="000000"/>
              </w:rPr>
            </w:pPr>
            <w:r w:rsidRPr="00395F84">
              <w:rPr>
                <w:rFonts w:ascii="Times New Roman" w:eastAsia="Times New Roman" w:hAnsi="Times New Roman"/>
                <w:color w:val="000000"/>
              </w:rPr>
              <w:t>Perpetual</w:t>
            </w:r>
            <w:r w:rsidR="00082679" w:rsidRPr="00395F84">
              <w:rPr>
                <w:rFonts w:ascii="Times New Roman" w:eastAsia="Times New Roman" w:hAnsi="Times New Roman"/>
                <w:color w:val="000000"/>
              </w:rPr>
              <w:t xml:space="preserve"> Growth Rate </w:t>
            </w:r>
          </w:p>
        </w:tc>
        <w:tc>
          <w:tcPr>
            <w:tcW w:w="1277" w:type="dxa"/>
            <w:tcBorders>
              <w:top w:val="single" w:sz="4" w:space="0" w:color="auto"/>
              <w:left w:val="nil"/>
              <w:bottom w:val="single" w:sz="4" w:space="0" w:color="auto"/>
              <w:right w:val="nil"/>
            </w:tcBorders>
            <w:shd w:val="clear" w:color="000000" w:fill="C6E0B4"/>
            <w:noWrap/>
            <w:vAlign w:val="bottom"/>
            <w:hideMark/>
          </w:tcPr>
          <w:p w14:paraId="22028F0C" w14:textId="77777777" w:rsidR="00082679" w:rsidRPr="00395F84" w:rsidRDefault="00082679" w:rsidP="00082679">
            <w:pPr>
              <w:jc w:val="right"/>
              <w:rPr>
                <w:rFonts w:ascii="Times New Roman" w:eastAsia="Times New Roman" w:hAnsi="Times New Roman"/>
                <w:color w:val="000000"/>
              </w:rPr>
            </w:pPr>
            <w:r w:rsidRPr="00395F84">
              <w:rPr>
                <w:rFonts w:ascii="Times New Roman" w:eastAsia="Times New Roman" w:hAnsi="Times New Roman"/>
                <w:color w:val="000000"/>
              </w:rPr>
              <w:t>2.00%</w:t>
            </w:r>
          </w:p>
        </w:tc>
      </w:tr>
    </w:tbl>
    <w:p w14:paraId="2AEB7A62" w14:textId="24276B49" w:rsidR="00267A95" w:rsidRPr="00ED2414" w:rsidRDefault="00076A9F" w:rsidP="00267A95">
      <w:pPr>
        <w:ind w:left="2160"/>
        <w:jc w:val="both"/>
        <w:rPr>
          <w:rFonts w:ascii="Times New Roman" w:hAnsi="Times New Roman"/>
        </w:rPr>
      </w:pPr>
      <w:r>
        <w:rPr>
          <w:rFonts w:ascii="Times New Roman" w:hAnsi="Times New Roman"/>
        </w:rPr>
        <w:t>Through a regression test of</w:t>
      </w:r>
      <w:r w:rsidRPr="00ED2414">
        <w:rPr>
          <w:rFonts w:ascii="Times New Roman" w:hAnsi="Times New Roman"/>
        </w:rPr>
        <w:t xml:space="preserve"> WB </w:t>
      </w:r>
      <w:r>
        <w:rPr>
          <w:rFonts w:ascii="Times New Roman" w:hAnsi="Times New Roman"/>
        </w:rPr>
        <w:t xml:space="preserve">historical </w:t>
      </w:r>
      <w:r w:rsidRPr="00ED2414">
        <w:rPr>
          <w:rFonts w:ascii="Times New Roman" w:hAnsi="Times New Roman"/>
        </w:rPr>
        <w:t xml:space="preserve">returns </w:t>
      </w:r>
      <w:r w:rsidR="00BD37FA">
        <w:rPr>
          <w:rFonts w:ascii="Times New Roman" w:hAnsi="Times New Roman"/>
        </w:rPr>
        <w:t>against</w:t>
      </w:r>
      <w:r w:rsidRPr="00ED2414">
        <w:rPr>
          <w:rFonts w:ascii="Times New Roman" w:hAnsi="Times New Roman"/>
        </w:rPr>
        <w:t xml:space="preserve"> the S&amp;P TSX Composite Index returns</w:t>
      </w:r>
      <w:r>
        <w:rPr>
          <w:rFonts w:ascii="Times New Roman" w:hAnsi="Times New Roman"/>
        </w:rPr>
        <w:t xml:space="preserve">, a beta of 0.6 was derived. However according to management guidance, </w:t>
      </w:r>
      <w:r w:rsidR="00F712A9">
        <w:rPr>
          <w:rFonts w:ascii="Times New Roman" w:hAnsi="Times New Roman"/>
        </w:rPr>
        <w:t>Whistler Blackcomb’s</w:t>
      </w:r>
      <w:r>
        <w:rPr>
          <w:rFonts w:ascii="Times New Roman" w:hAnsi="Times New Roman"/>
        </w:rPr>
        <w:t xml:space="preserve"> WACC is </w:t>
      </w:r>
      <w:r w:rsidR="001018E6">
        <w:rPr>
          <w:rFonts w:ascii="Times New Roman" w:hAnsi="Times New Roman"/>
        </w:rPr>
        <w:t>of 8%</w:t>
      </w:r>
      <w:r>
        <w:rPr>
          <w:rFonts w:ascii="Times New Roman" w:hAnsi="Times New Roman"/>
        </w:rPr>
        <w:t>, w</w:t>
      </w:r>
      <w:r w:rsidR="00267A95">
        <w:rPr>
          <w:rFonts w:ascii="Times New Roman" w:hAnsi="Times New Roman"/>
        </w:rPr>
        <w:t>hich brings the beta up close to 1.0</w:t>
      </w:r>
      <w:r w:rsidR="00F712A9">
        <w:rPr>
          <w:rFonts w:ascii="Times New Roman" w:hAnsi="Times New Roman"/>
        </w:rPr>
        <w:t xml:space="preserve"> with other inputs fixed</w:t>
      </w:r>
      <w:r w:rsidR="00267A95">
        <w:rPr>
          <w:rFonts w:ascii="Times New Roman" w:hAnsi="Times New Roman"/>
        </w:rPr>
        <w:t xml:space="preserve">. </w:t>
      </w:r>
      <w:r w:rsidR="00DC386B">
        <w:rPr>
          <w:rFonts w:ascii="Times New Roman" w:hAnsi="Times New Roman"/>
        </w:rPr>
        <w:t>According to</w:t>
      </w:r>
      <w:r w:rsidR="009B00BF">
        <w:rPr>
          <w:rFonts w:ascii="Times New Roman" w:hAnsi="Times New Roman"/>
        </w:rPr>
        <w:t xml:space="preserve"> New York University’s Sector Beta Database, t</w:t>
      </w:r>
      <w:r w:rsidR="00267A95">
        <w:rPr>
          <w:rFonts w:ascii="Times New Roman" w:hAnsi="Times New Roman"/>
        </w:rPr>
        <w:t>he average beta for</w:t>
      </w:r>
      <w:r w:rsidR="009B00BF">
        <w:rPr>
          <w:rFonts w:ascii="Times New Roman" w:hAnsi="Times New Roman"/>
        </w:rPr>
        <w:t xml:space="preserve"> the hotel/gaming sector is 0.97</w:t>
      </w:r>
      <w:r w:rsidR="00267A95">
        <w:rPr>
          <w:rFonts w:ascii="Times New Roman" w:hAnsi="Times New Roman"/>
        </w:rPr>
        <w:t xml:space="preserve">, and the beta for entertainment is 1.21, </w:t>
      </w:r>
      <w:r w:rsidR="009B00BF">
        <w:rPr>
          <w:rFonts w:ascii="Times New Roman" w:hAnsi="Times New Roman"/>
        </w:rPr>
        <w:t>therefore</w:t>
      </w:r>
      <w:r w:rsidR="00267A95">
        <w:rPr>
          <w:rFonts w:ascii="Times New Roman" w:hAnsi="Times New Roman"/>
        </w:rPr>
        <w:t xml:space="preserve"> the beta of 0.6 </w:t>
      </w:r>
      <w:r w:rsidR="009B00BF">
        <w:rPr>
          <w:rFonts w:ascii="Times New Roman" w:hAnsi="Times New Roman"/>
        </w:rPr>
        <w:t>appears quite</w:t>
      </w:r>
      <w:r w:rsidR="00267A95">
        <w:rPr>
          <w:rFonts w:ascii="Times New Roman" w:hAnsi="Times New Roman"/>
        </w:rPr>
        <w:t xml:space="preserve"> low for </w:t>
      </w:r>
      <w:r w:rsidR="009B00BF">
        <w:rPr>
          <w:rFonts w:ascii="Times New Roman" w:hAnsi="Times New Roman"/>
        </w:rPr>
        <w:t>a company like Whistler Blackcomb</w:t>
      </w:r>
      <w:r w:rsidR="00267A95">
        <w:rPr>
          <w:rFonts w:ascii="Times New Roman" w:hAnsi="Times New Roman"/>
        </w:rPr>
        <w:t xml:space="preserve">. </w:t>
      </w:r>
      <w:r w:rsidR="00DC386B">
        <w:rPr>
          <w:rFonts w:ascii="Times New Roman" w:hAnsi="Times New Roman"/>
        </w:rPr>
        <w:t>The</w:t>
      </w:r>
      <w:r w:rsidR="00267A95">
        <w:rPr>
          <w:rFonts w:ascii="Times New Roman" w:hAnsi="Times New Roman"/>
        </w:rPr>
        <w:t xml:space="preserve"> factor which may have contributed to the relatively low beta is WB’s high institu</w:t>
      </w:r>
      <w:r w:rsidR="009B00BF">
        <w:rPr>
          <w:rFonts w:ascii="Times New Roman" w:hAnsi="Times New Roman"/>
        </w:rPr>
        <w:t>tional holding of more than 75%. W</w:t>
      </w:r>
      <w:r w:rsidR="00267A95">
        <w:rPr>
          <w:rFonts w:ascii="Times New Roman" w:hAnsi="Times New Roman"/>
        </w:rPr>
        <w:t xml:space="preserve">ith the stock rather closely held, there would be limited shares float, which may bias historical beta to be on the low side. </w:t>
      </w:r>
      <w:r w:rsidR="009B00BF">
        <w:rPr>
          <w:rFonts w:ascii="Times New Roman" w:hAnsi="Times New Roman"/>
        </w:rPr>
        <w:t>Therefore it is logic</w:t>
      </w:r>
      <w:r w:rsidR="001018E6">
        <w:rPr>
          <w:rFonts w:ascii="Times New Roman" w:hAnsi="Times New Roman"/>
        </w:rPr>
        <w:t>al</w:t>
      </w:r>
      <w:r w:rsidR="009B00BF">
        <w:rPr>
          <w:rFonts w:ascii="Times New Roman" w:hAnsi="Times New Roman"/>
        </w:rPr>
        <w:t xml:space="preserve"> to use </w:t>
      </w:r>
      <w:r w:rsidR="00A43D61">
        <w:rPr>
          <w:rFonts w:ascii="Times New Roman" w:hAnsi="Times New Roman"/>
        </w:rPr>
        <w:t>an</w:t>
      </w:r>
      <w:r w:rsidR="009B00BF">
        <w:rPr>
          <w:rFonts w:ascii="Times New Roman" w:hAnsi="Times New Roman"/>
        </w:rPr>
        <w:t xml:space="preserve"> </w:t>
      </w:r>
      <w:r w:rsidR="001018E6">
        <w:rPr>
          <w:rFonts w:ascii="Times New Roman" w:hAnsi="Times New Roman"/>
        </w:rPr>
        <w:t>average forward looking beta of 0.8</w:t>
      </w:r>
      <w:r w:rsidR="009B00BF">
        <w:rPr>
          <w:rFonts w:ascii="Times New Roman" w:hAnsi="Times New Roman"/>
        </w:rPr>
        <w:t xml:space="preserve"> as </w:t>
      </w:r>
      <w:r w:rsidR="00F712A9">
        <w:rPr>
          <w:rFonts w:ascii="Times New Roman" w:hAnsi="Times New Roman"/>
        </w:rPr>
        <w:t xml:space="preserve">the expected </w:t>
      </w:r>
      <w:r w:rsidR="009B00BF">
        <w:rPr>
          <w:rFonts w:ascii="Times New Roman" w:hAnsi="Times New Roman"/>
        </w:rPr>
        <w:t>beta</w:t>
      </w:r>
      <w:r w:rsidR="00F712A9">
        <w:rPr>
          <w:rFonts w:ascii="Times New Roman" w:hAnsi="Times New Roman"/>
        </w:rPr>
        <w:t xml:space="preserve"> of Whistler Blackcomb</w:t>
      </w:r>
      <w:r w:rsidR="009B00BF">
        <w:rPr>
          <w:rFonts w:ascii="Times New Roman" w:hAnsi="Times New Roman"/>
        </w:rPr>
        <w:t>.</w:t>
      </w:r>
    </w:p>
    <w:p w14:paraId="427D19DA" w14:textId="77777777" w:rsidR="00656319" w:rsidRPr="00ED2414" w:rsidRDefault="00656319" w:rsidP="00656319">
      <w:pPr>
        <w:ind w:left="2160"/>
        <w:jc w:val="both"/>
        <w:rPr>
          <w:rFonts w:ascii="Times New Roman" w:hAnsi="Times New Roman"/>
          <w:b/>
        </w:rPr>
      </w:pPr>
    </w:p>
    <w:p w14:paraId="5455A798" w14:textId="77777777" w:rsidR="00656319" w:rsidRPr="00ED2414" w:rsidRDefault="00656319" w:rsidP="00656319">
      <w:pPr>
        <w:ind w:left="2160"/>
        <w:jc w:val="both"/>
        <w:rPr>
          <w:rFonts w:ascii="Times New Roman" w:hAnsi="Times New Roman"/>
          <w:b/>
        </w:rPr>
      </w:pPr>
      <w:r w:rsidRPr="00ED2414">
        <w:rPr>
          <w:rFonts w:ascii="Times New Roman" w:hAnsi="Times New Roman"/>
          <w:b/>
        </w:rPr>
        <w:t>Terminal Growth</w:t>
      </w:r>
    </w:p>
    <w:p w14:paraId="750B6588" w14:textId="3CB2877F" w:rsidR="00656319" w:rsidRDefault="00656319" w:rsidP="00656319">
      <w:pPr>
        <w:ind w:left="2160"/>
        <w:jc w:val="both"/>
        <w:rPr>
          <w:rFonts w:ascii="Times New Roman" w:hAnsi="Times New Roman"/>
        </w:rPr>
      </w:pPr>
      <w:r w:rsidRPr="00ED2414">
        <w:rPr>
          <w:rFonts w:ascii="Times New Roman" w:hAnsi="Times New Roman"/>
        </w:rPr>
        <w:t xml:space="preserve">As The Snow Sport Resort </w:t>
      </w:r>
      <w:r w:rsidR="00BD37FA">
        <w:rPr>
          <w:rFonts w:ascii="Times New Roman" w:hAnsi="Times New Roman"/>
        </w:rPr>
        <w:t>Sector</w:t>
      </w:r>
      <w:r w:rsidRPr="00ED2414">
        <w:rPr>
          <w:rFonts w:ascii="Times New Roman" w:hAnsi="Times New Roman"/>
        </w:rPr>
        <w:t xml:space="preserve"> continues to reach the point of saturation, the revenue growth of WB will also slowdown to the point of the average inflation of 2%, which is accounted for in the 5</w:t>
      </w:r>
      <w:r w:rsidRPr="00ED2414">
        <w:rPr>
          <w:rFonts w:ascii="Times New Roman" w:hAnsi="Times New Roman"/>
          <w:vertAlign w:val="superscript"/>
        </w:rPr>
        <w:t>th</w:t>
      </w:r>
      <w:r w:rsidRPr="00ED2414">
        <w:rPr>
          <w:rFonts w:ascii="Times New Roman" w:hAnsi="Times New Roman"/>
        </w:rPr>
        <w:t xml:space="preserve"> year terminal growth rate.</w:t>
      </w:r>
    </w:p>
    <w:p w14:paraId="41102641" w14:textId="77777777" w:rsidR="009B00BF" w:rsidRPr="00ED2414" w:rsidRDefault="009B00BF" w:rsidP="00267A95">
      <w:pPr>
        <w:jc w:val="both"/>
        <w:rPr>
          <w:rFonts w:ascii="Times New Roman" w:hAnsi="Times New Roman"/>
          <w:b/>
        </w:rPr>
      </w:pPr>
    </w:p>
    <w:p w14:paraId="2983D1B0" w14:textId="1DED82FF" w:rsidR="009B00BF" w:rsidRDefault="00656319" w:rsidP="00EC1098">
      <w:pPr>
        <w:ind w:left="2160"/>
        <w:jc w:val="both"/>
        <w:rPr>
          <w:rFonts w:ascii="Times New Roman" w:hAnsi="Times New Roman"/>
          <w:b/>
          <w:sz w:val="24"/>
        </w:rPr>
      </w:pPr>
      <w:r w:rsidRPr="00076A9F">
        <w:rPr>
          <w:rFonts w:ascii="Times New Roman" w:hAnsi="Times New Roman"/>
          <w:b/>
          <w:sz w:val="24"/>
        </w:rPr>
        <w:t>Comparable Multiples Valuation</w:t>
      </w:r>
    </w:p>
    <w:p w14:paraId="3BC7368C" w14:textId="77777777" w:rsidR="00EC1098" w:rsidRDefault="00EC1098" w:rsidP="00EC1098">
      <w:pPr>
        <w:ind w:left="2160"/>
        <w:jc w:val="both"/>
        <w:rPr>
          <w:rFonts w:ascii="Times New Roman" w:hAnsi="Times New Roman"/>
          <w:b/>
          <w:sz w:val="24"/>
        </w:rPr>
      </w:pPr>
    </w:p>
    <w:p w14:paraId="53C7F8CF" w14:textId="63535765" w:rsidR="0031593B" w:rsidRDefault="009B00BF" w:rsidP="002D5934">
      <w:pPr>
        <w:ind w:left="2160"/>
        <w:jc w:val="both"/>
        <w:rPr>
          <w:rFonts w:ascii="Times New Roman" w:hAnsi="Times New Roman"/>
        </w:rPr>
      </w:pPr>
      <w:r>
        <w:rPr>
          <w:rFonts w:ascii="Times New Roman" w:hAnsi="Times New Roman"/>
        </w:rPr>
        <w:t>While the DCF model was the main valuation approach, we also analyzed valuations of Comparable Firms.</w:t>
      </w:r>
      <w:r w:rsidR="00742D76">
        <w:rPr>
          <w:rFonts w:ascii="Times New Roman" w:hAnsi="Times New Roman"/>
        </w:rPr>
        <w:t xml:space="preserve"> With the EV/EBITDA multiple, and our forecasted EBIDTA of Whistler Blackcomb, we calculated an </w:t>
      </w:r>
      <w:r w:rsidR="00132619">
        <w:rPr>
          <w:rFonts w:ascii="Times New Roman" w:hAnsi="Times New Roman"/>
        </w:rPr>
        <w:t>relative</w:t>
      </w:r>
      <w:r w:rsidR="00742D76">
        <w:rPr>
          <w:rFonts w:ascii="Times New Roman" w:hAnsi="Times New Roman"/>
        </w:rPr>
        <w:t xml:space="preserve"> value of $22.74 per share in one-</w:t>
      </w:r>
      <w:r w:rsidR="00A43D61">
        <w:rPr>
          <w:rFonts w:ascii="Times New Roman" w:hAnsi="Times New Roman"/>
        </w:rPr>
        <w:t>years’ time</w:t>
      </w:r>
      <w:r w:rsidR="00742D76">
        <w:rPr>
          <w:rFonts w:ascii="Times New Roman" w:hAnsi="Times New Roman"/>
        </w:rPr>
        <w:t xml:space="preserve">. </w:t>
      </w:r>
    </w:p>
    <w:tbl>
      <w:tblPr>
        <w:tblpPr w:leftFromText="180" w:rightFromText="180" w:vertAnchor="text" w:horzAnchor="margin" w:tblpXSpec="center" w:tblpY="145"/>
        <w:tblW w:w="11523" w:type="dxa"/>
        <w:tblLook w:val="04A0" w:firstRow="1" w:lastRow="0" w:firstColumn="1" w:lastColumn="0" w:noHBand="0" w:noVBand="1"/>
      </w:tblPr>
      <w:tblGrid>
        <w:gridCol w:w="2811"/>
        <w:gridCol w:w="1075"/>
        <w:gridCol w:w="2173"/>
        <w:gridCol w:w="1250"/>
        <w:gridCol w:w="1163"/>
        <w:gridCol w:w="1339"/>
        <w:gridCol w:w="1712"/>
      </w:tblGrid>
      <w:tr w:rsidR="009B00BF" w:rsidRPr="00076A9F" w14:paraId="1341ADCA" w14:textId="77777777" w:rsidTr="009B00BF">
        <w:trPr>
          <w:trHeight w:val="389"/>
        </w:trPr>
        <w:tc>
          <w:tcPr>
            <w:tcW w:w="2811" w:type="dxa"/>
            <w:tcBorders>
              <w:top w:val="nil"/>
              <w:left w:val="nil"/>
              <w:bottom w:val="nil"/>
              <w:right w:val="nil"/>
            </w:tcBorders>
            <w:shd w:val="clear" w:color="000000" w:fill="203764"/>
            <w:noWrap/>
            <w:vAlign w:val="bottom"/>
            <w:hideMark/>
          </w:tcPr>
          <w:p w14:paraId="693B335E" w14:textId="77777777" w:rsidR="009B00BF" w:rsidRPr="00076A9F" w:rsidRDefault="009B00BF" w:rsidP="009B00BF">
            <w:pPr>
              <w:jc w:val="center"/>
              <w:rPr>
                <w:rFonts w:ascii="Arial" w:eastAsia="Times New Roman" w:hAnsi="Arial" w:cs="Arial"/>
                <w:b/>
                <w:bCs/>
                <w:color w:val="FFFFFF"/>
                <w:sz w:val="17"/>
                <w:szCs w:val="17"/>
              </w:rPr>
            </w:pPr>
            <w:r w:rsidRPr="00076A9F">
              <w:rPr>
                <w:rFonts w:ascii="Arial" w:eastAsia="Times New Roman" w:hAnsi="Arial" w:cs="Arial"/>
                <w:b/>
                <w:bCs/>
                <w:color w:val="FFFFFF"/>
                <w:sz w:val="17"/>
                <w:szCs w:val="17"/>
              </w:rPr>
              <w:t>Name</w:t>
            </w:r>
          </w:p>
        </w:tc>
        <w:tc>
          <w:tcPr>
            <w:tcW w:w="1075" w:type="dxa"/>
            <w:tcBorders>
              <w:top w:val="nil"/>
              <w:left w:val="nil"/>
              <w:bottom w:val="nil"/>
              <w:right w:val="nil"/>
            </w:tcBorders>
            <w:shd w:val="clear" w:color="000000" w:fill="203764"/>
            <w:noWrap/>
            <w:vAlign w:val="bottom"/>
            <w:hideMark/>
          </w:tcPr>
          <w:p w14:paraId="1F2E9197" w14:textId="77777777" w:rsidR="009B00BF" w:rsidRPr="00076A9F" w:rsidRDefault="009B00BF" w:rsidP="009B00BF">
            <w:pPr>
              <w:jc w:val="center"/>
              <w:rPr>
                <w:rFonts w:ascii="Arial" w:eastAsia="Times New Roman" w:hAnsi="Arial" w:cs="Arial"/>
                <w:b/>
                <w:bCs/>
                <w:color w:val="FFFFFF"/>
                <w:sz w:val="17"/>
                <w:szCs w:val="17"/>
              </w:rPr>
            </w:pPr>
            <w:r w:rsidRPr="00076A9F">
              <w:rPr>
                <w:rFonts w:ascii="Arial" w:eastAsia="Times New Roman" w:hAnsi="Arial" w:cs="Arial"/>
                <w:b/>
                <w:bCs/>
                <w:color w:val="FFFFFF"/>
                <w:sz w:val="17"/>
                <w:szCs w:val="17"/>
              </w:rPr>
              <w:t>Ticker</w:t>
            </w:r>
          </w:p>
        </w:tc>
        <w:tc>
          <w:tcPr>
            <w:tcW w:w="2173" w:type="dxa"/>
            <w:tcBorders>
              <w:top w:val="nil"/>
              <w:left w:val="nil"/>
              <w:bottom w:val="nil"/>
              <w:right w:val="nil"/>
            </w:tcBorders>
            <w:shd w:val="clear" w:color="000000" w:fill="203764"/>
            <w:noWrap/>
            <w:vAlign w:val="bottom"/>
            <w:hideMark/>
          </w:tcPr>
          <w:p w14:paraId="58940BAC" w14:textId="77777777" w:rsidR="009B00BF" w:rsidRPr="00076A9F" w:rsidRDefault="009B00BF" w:rsidP="009B00BF">
            <w:pPr>
              <w:jc w:val="center"/>
              <w:rPr>
                <w:rFonts w:ascii="Arial" w:eastAsia="Times New Roman" w:hAnsi="Arial" w:cs="Arial"/>
                <w:b/>
                <w:bCs/>
                <w:color w:val="FFFFFF"/>
                <w:sz w:val="17"/>
                <w:szCs w:val="17"/>
              </w:rPr>
            </w:pPr>
            <w:r w:rsidRPr="00076A9F">
              <w:rPr>
                <w:rFonts w:ascii="Arial" w:eastAsia="Times New Roman" w:hAnsi="Arial" w:cs="Arial"/>
                <w:b/>
                <w:bCs/>
                <w:color w:val="FFFFFF"/>
                <w:sz w:val="17"/>
                <w:szCs w:val="17"/>
              </w:rPr>
              <w:t>Mkt Cap (USD) Millions</w:t>
            </w:r>
          </w:p>
        </w:tc>
        <w:tc>
          <w:tcPr>
            <w:tcW w:w="1250" w:type="dxa"/>
            <w:tcBorders>
              <w:top w:val="nil"/>
              <w:left w:val="nil"/>
              <w:bottom w:val="nil"/>
              <w:right w:val="nil"/>
            </w:tcBorders>
            <w:shd w:val="clear" w:color="000000" w:fill="203764"/>
            <w:noWrap/>
            <w:vAlign w:val="bottom"/>
            <w:hideMark/>
          </w:tcPr>
          <w:p w14:paraId="429099B4" w14:textId="77777777" w:rsidR="009B00BF" w:rsidRPr="00076A9F" w:rsidRDefault="009B00BF" w:rsidP="009B00BF">
            <w:pPr>
              <w:jc w:val="center"/>
              <w:rPr>
                <w:rFonts w:ascii="Arial" w:eastAsia="Times New Roman" w:hAnsi="Arial" w:cs="Arial"/>
                <w:b/>
                <w:bCs/>
                <w:color w:val="FFFFFF"/>
                <w:sz w:val="17"/>
                <w:szCs w:val="17"/>
              </w:rPr>
            </w:pPr>
            <w:r w:rsidRPr="00076A9F">
              <w:rPr>
                <w:rFonts w:ascii="Arial" w:eastAsia="Times New Roman" w:hAnsi="Arial" w:cs="Arial"/>
                <w:b/>
                <w:bCs/>
                <w:color w:val="FFFFFF"/>
                <w:sz w:val="17"/>
                <w:szCs w:val="17"/>
              </w:rPr>
              <w:t>Price (I)</w:t>
            </w:r>
          </w:p>
        </w:tc>
        <w:tc>
          <w:tcPr>
            <w:tcW w:w="1163" w:type="dxa"/>
            <w:tcBorders>
              <w:top w:val="nil"/>
              <w:left w:val="nil"/>
              <w:bottom w:val="nil"/>
              <w:right w:val="nil"/>
            </w:tcBorders>
            <w:shd w:val="clear" w:color="000000" w:fill="203764"/>
            <w:noWrap/>
            <w:vAlign w:val="bottom"/>
            <w:hideMark/>
          </w:tcPr>
          <w:p w14:paraId="40656E86" w14:textId="77777777" w:rsidR="009B00BF" w:rsidRPr="00076A9F" w:rsidRDefault="009B00BF" w:rsidP="009B00BF">
            <w:pPr>
              <w:jc w:val="center"/>
              <w:rPr>
                <w:rFonts w:ascii="Arial" w:eastAsia="Times New Roman" w:hAnsi="Arial" w:cs="Arial"/>
                <w:b/>
                <w:bCs/>
                <w:color w:val="FFFFFF"/>
                <w:sz w:val="17"/>
                <w:szCs w:val="17"/>
              </w:rPr>
            </w:pPr>
            <w:r w:rsidRPr="00076A9F">
              <w:rPr>
                <w:rFonts w:ascii="Arial" w:eastAsia="Times New Roman" w:hAnsi="Arial" w:cs="Arial"/>
                <w:b/>
                <w:bCs/>
                <w:color w:val="FFFFFF"/>
                <w:sz w:val="17"/>
                <w:szCs w:val="17"/>
              </w:rPr>
              <w:t>Net Debt</w:t>
            </w:r>
          </w:p>
        </w:tc>
        <w:tc>
          <w:tcPr>
            <w:tcW w:w="1339" w:type="dxa"/>
            <w:tcBorders>
              <w:top w:val="nil"/>
              <w:left w:val="nil"/>
              <w:bottom w:val="nil"/>
              <w:right w:val="nil"/>
            </w:tcBorders>
            <w:shd w:val="clear" w:color="000000" w:fill="203764"/>
            <w:noWrap/>
            <w:vAlign w:val="bottom"/>
            <w:hideMark/>
          </w:tcPr>
          <w:p w14:paraId="0E4DE63F" w14:textId="77777777" w:rsidR="009B00BF" w:rsidRPr="00076A9F" w:rsidRDefault="009B00BF" w:rsidP="009B00BF">
            <w:pPr>
              <w:jc w:val="center"/>
              <w:rPr>
                <w:rFonts w:ascii="Arial" w:eastAsia="Times New Roman" w:hAnsi="Arial" w:cs="Arial"/>
                <w:b/>
                <w:bCs/>
                <w:color w:val="FFFFFF"/>
                <w:sz w:val="17"/>
                <w:szCs w:val="17"/>
              </w:rPr>
            </w:pPr>
            <w:r w:rsidRPr="00076A9F">
              <w:rPr>
                <w:rFonts w:ascii="Arial" w:eastAsia="Times New Roman" w:hAnsi="Arial" w:cs="Arial"/>
                <w:b/>
                <w:bCs/>
                <w:color w:val="FFFFFF"/>
                <w:sz w:val="17"/>
                <w:szCs w:val="17"/>
              </w:rPr>
              <w:t>EV / EBITDA</w:t>
            </w:r>
          </w:p>
        </w:tc>
        <w:tc>
          <w:tcPr>
            <w:tcW w:w="1712" w:type="dxa"/>
            <w:tcBorders>
              <w:top w:val="nil"/>
              <w:left w:val="nil"/>
              <w:bottom w:val="nil"/>
              <w:right w:val="nil"/>
            </w:tcBorders>
            <w:shd w:val="clear" w:color="000000" w:fill="203764"/>
            <w:noWrap/>
            <w:vAlign w:val="bottom"/>
            <w:hideMark/>
          </w:tcPr>
          <w:p w14:paraId="5D86B103" w14:textId="3A39A41B" w:rsidR="009B00BF" w:rsidRPr="00076A9F" w:rsidRDefault="009B00BF" w:rsidP="009B00BF">
            <w:pPr>
              <w:jc w:val="center"/>
              <w:rPr>
                <w:rFonts w:ascii="Arial" w:eastAsia="Times New Roman" w:hAnsi="Arial" w:cs="Arial"/>
                <w:b/>
                <w:bCs/>
                <w:color w:val="FFFFFF"/>
                <w:sz w:val="17"/>
                <w:szCs w:val="17"/>
              </w:rPr>
            </w:pPr>
            <w:r w:rsidRPr="00076A9F">
              <w:rPr>
                <w:rFonts w:ascii="Arial" w:eastAsia="Times New Roman" w:hAnsi="Arial" w:cs="Arial"/>
                <w:b/>
                <w:bCs/>
                <w:color w:val="FFFFFF"/>
                <w:sz w:val="17"/>
                <w:szCs w:val="17"/>
              </w:rPr>
              <w:t xml:space="preserve">Dividend </w:t>
            </w:r>
            <w:r w:rsidR="00A43D61" w:rsidRPr="00076A9F">
              <w:rPr>
                <w:rFonts w:ascii="Arial" w:eastAsia="Times New Roman" w:hAnsi="Arial" w:cs="Arial"/>
                <w:b/>
                <w:bCs/>
                <w:color w:val="FFFFFF"/>
                <w:sz w:val="17"/>
                <w:szCs w:val="17"/>
              </w:rPr>
              <w:t>Yield (</w:t>
            </w:r>
            <w:r w:rsidRPr="00076A9F">
              <w:rPr>
                <w:rFonts w:ascii="Arial" w:eastAsia="Times New Roman" w:hAnsi="Arial" w:cs="Arial"/>
                <w:b/>
                <w:bCs/>
                <w:color w:val="FFFFFF"/>
                <w:sz w:val="17"/>
                <w:szCs w:val="17"/>
              </w:rPr>
              <w:t>%)</w:t>
            </w:r>
          </w:p>
        </w:tc>
      </w:tr>
      <w:tr w:rsidR="009B00BF" w:rsidRPr="00076A9F" w14:paraId="72154387" w14:textId="77777777" w:rsidTr="009B00BF">
        <w:trPr>
          <w:trHeight w:val="389"/>
        </w:trPr>
        <w:tc>
          <w:tcPr>
            <w:tcW w:w="2811" w:type="dxa"/>
            <w:tcBorders>
              <w:top w:val="nil"/>
              <w:left w:val="nil"/>
              <w:bottom w:val="nil"/>
              <w:right w:val="nil"/>
            </w:tcBorders>
            <w:shd w:val="clear" w:color="auto" w:fill="auto"/>
            <w:noWrap/>
            <w:vAlign w:val="bottom"/>
            <w:hideMark/>
          </w:tcPr>
          <w:p w14:paraId="59B4CEDC" w14:textId="77777777" w:rsidR="009B00BF" w:rsidRPr="00076A9F" w:rsidRDefault="009B00BF" w:rsidP="009B00BF">
            <w:pPr>
              <w:rPr>
                <w:rFonts w:ascii="Arial" w:eastAsia="Times New Roman" w:hAnsi="Arial" w:cs="Arial"/>
                <w:b/>
                <w:bCs/>
                <w:sz w:val="18"/>
                <w:szCs w:val="16"/>
              </w:rPr>
            </w:pPr>
            <w:r w:rsidRPr="00076A9F">
              <w:rPr>
                <w:rFonts w:ascii="Arial" w:eastAsia="Times New Roman" w:hAnsi="Arial" w:cs="Arial"/>
                <w:b/>
                <w:bCs/>
                <w:sz w:val="18"/>
                <w:szCs w:val="16"/>
              </w:rPr>
              <w:t>Whistler Blackcomb Holdings</w:t>
            </w:r>
          </w:p>
        </w:tc>
        <w:tc>
          <w:tcPr>
            <w:tcW w:w="1075" w:type="dxa"/>
            <w:tcBorders>
              <w:top w:val="nil"/>
              <w:left w:val="nil"/>
              <w:bottom w:val="nil"/>
              <w:right w:val="nil"/>
            </w:tcBorders>
            <w:shd w:val="clear" w:color="auto" w:fill="auto"/>
            <w:noWrap/>
            <w:vAlign w:val="bottom"/>
            <w:hideMark/>
          </w:tcPr>
          <w:p w14:paraId="0870BBC5"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WB CN</w:t>
            </w:r>
          </w:p>
        </w:tc>
        <w:tc>
          <w:tcPr>
            <w:tcW w:w="2173" w:type="dxa"/>
            <w:tcBorders>
              <w:top w:val="nil"/>
              <w:left w:val="nil"/>
              <w:bottom w:val="nil"/>
              <w:right w:val="nil"/>
            </w:tcBorders>
            <w:shd w:val="clear" w:color="auto" w:fill="auto"/>
            <w:noWrap/>
            <w:vAlign w:val="bottom"/>
            <w:hideMark/>
          </w:tcPr>
          <w:p w14:paraId="67E032FB"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643.00</w:t>
            </w:r>
          </w:p>
        </w:tc>
        <w:tc>
          <w:tcPr>
            <w:tcW w:w="1250" w:type="dxa"/>
            <w:tcBorders>
              <w:top w:val="nil"/>
              <w:left w:val="nil"/>
              <w:bottom w:val="nil"/>
              <w:right w:val="nil"/>
            </w:tcBorders>
            <w:shd w:val="clear" w:color="auto" w:fill="auto"/>
            <w:noWrap/>
            <w:vAlign w:val="bottom"/>
            <w:hideMark/>
          </w:tcPr>
          <w:p w14:paraId="1F10ACCA"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16.92</w:t>
            </w:r>
          </w:p>
        </w:tc>
        <w:tc>
          <w:tcPr>
            <w:tcW w:w="1163" w:type="dxa"/>
            <w:tcBorders>
              <w:top w:val="nil"/>
              <w:left w:val="nil"/>
              <w:bottom w:val="nil"/>
              <w:right w:val="nil"/>
            </w:tcBorders>
            <w:shd w:val="clear" w:color="auto" w:fill="auto"/>
            <w:noWrap/>
            <w:vAlign w:val="bottom"/>
            <w:hideMark/>
          </w:tcPr>
          <w:p w14:paraId="5DC1808C"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169.24</w:t>
            </w:r>
          </w:p>
        </w:tc>
        <w:tc>
          <w:tcPr>
            <w:tcW w:w="1339" w:type="dxa"/>
            <w:tcBorders>
              <w:top w:val="nil"/>
              <w:left w:val="nil"/>
              <w:bottom w:val="nil"/>
              <w:right w:val="nil"/>
            </w:tcBorders>
            <w:shd w:val="clear" w:color="auto" w:fill="auto"/>
            <w:noWrap/>
            <w:vAlign w:val="bottom"/>
            <w:hideMark/>
          </w:tcPr>
          <w:p w14:paraId="636D596B" w14:textId="161E088B"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12.37</w:t>
            </w:r>
          </w:p>
        </w:tc>
        <w:tc>
          <w:tcPr>
            <w:tcW w:w="1712" w:type="dxa"/>
            <w:tcBorders>
              <w:top w:val="nil"/>
              <w:left w:val="nil"/>
              <w:bottom w:val="nil"/>
              <w:right w:val="nil"/>
            </w:tcBorders>
            <w:shd w:val="clear" w:color="auto" w:fill="auto"/>
            <w:noWrap/>
            <w:vAlign w:val="bottom"/>
            <w:hideMark/>
          </w:tcPr>
          <w:p w14:paraId="750C408C"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4.2%</w:t>
            </w:r>
          </w:p>
        </w:tc>
      </w:tr>
      <w:tr w:rsidR="009B00BF" w:rsidRPr="00076A9F" w14:paraId="4BE098CC" w14:textId="77777777" w:rsidTr="009B00BF">
        <w:trPr>
          <w:trHeight w:val="389"/>
        </w:trPr>
        <w:tc>
          <w:tcPr>
            <w:tcW w:w="2811" w:type="dxa"/>
            <w:tcBorders>
              <w:top w:val="nil"/>
              <w:left w:val="nil"/>
              <w:bottom w:val="nil"/>
              <w:right w:val="nil"/>
            </w:tcBorders>
            <w:shd w:val="clear" w:color="auto" w:fill="auto"/>
            <w:noWrap/>
            <w:vAlign w:val="bottom"/>
            <w:hideMark/>
          </w:tcPr>
          <w:p w14:paraId="34CC77DF" w14:textId="2B36B459" w:rsidR="009B00BF" w:rsidRPr="00076A9F" w:rsidRDefault="009B00BF" w:rsidP="009B00BF">
            <w:pPr>
              <w:rPr>
                <w:rFonts w:ascii="Arial" w:eastAsia="Times New Roman" w:hAnsi="Arial" w:cs="Arial"/>
                <w:b/>
                <w:bCs/>
                <w:sz w:val="18"/>
                <w:szCs w:val="16"/>
              </w:rPr>
            </w:pPr>
            <w:r w:rsidRPr="00076A9F">
              <w:rPr>
                <w:rFonts w:ascii="Arial" w:eastAsia="Times New Roman" w:hAnsi="Arial" w:cs="Arial"/>
                <w:b/>
                <w:bCs/>
                <w:sz w:val="18"/>
                <w:szCs w:val="16"/>
              </w:rPr>
              <w:t xml:space="preserve">Extended Stay America </w:t>
            </w:r>
            <w:r w:rsidR="00A43D61" w:rsidRPr="00076A9F">
              <w:rPr>
                <w:rFonts w:ascii="Arial" w:eastAsia="Times New Roman" w:hAnsi="Arial" w:cs="Arial"/>
                <w:b/>
                <w:bCs/>
                <w:sz w:val="18"/>
                <w:szCs w:val="16"/>
              </w:rPr>
              <w:t>Inc.</w:t>
            </w:r>
          </w:p>
        </w:tc>
        <w:tc>
          <w:tcPr>
            <w:tcW w:w="1075" w:type="dxa"/>
            <w:tcBorders>
              <w:top w:val="nil"/>
              <w:left w:val="nil"/>
              <w:bottom w:val="nil"/>
              <w:right w:val="nil"/>
            </w:tcBorders>
            <w:shd w:val="clear" w:color="auto" w:fill="auto"/>
            <w:noWrap/>
            <w:vAlign w:val="bottom"/>
            <w:hideMark/>
          </w:tcPr>
          <w:p w14:paraId="231F7A29"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STAY US</w:t>
            </w:r>
          </w:p>
        </w:tc>
        <w:tc>
          <w:tcPr>
            <w:tcW w:w="2173" w:type="dxa"/>
            <w:tcBorders>
              <w:top w:val="nil"/>
              <w:left w:val="nil"/>
              <w:bottom w:val="nil"/>
              <w:right w:val="nil"/>
            </w:tcBorders>
            <w:shd w:val="clear" w:color="auto" w:fill="auto"/>
            <w:noWrap/>
            <w:vAlign w:val="bottom"/>
            <w:hideMark/>
          </w:tcPr>
          <w:p w14:paraId="099E29B3"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2659.72</w:t>
            </w:r>
          </w:p>
        </w:tc>
        <w:tc>
          <w:tcPr>
            <w:tcW w:w="1250" w:type="dxa"/>
            <w:tcBorders>
              <w:top w:val="nil"/>
              <w:left w:val="nil"/>
              <w:bottom w:val="nil"/>
              <w:right w:val="nil"/>
            </w:tcBorders>
            <w:shd w:val="clear" w:color="auto" w:fill="auto"/>
            <w:noWrap/>
            <w:vAlign w:val="bottom"/>
            <w:hideMark/>
          </w:tcPr>
          <w:p w14:paraId="13B2715A"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13.00</w:t>
            </w:r>
          </w:p>
        </w:tc>
        <w:tc>
          <w:tcPr>
            <w:tcW w:w="1163" w:type="dxa"/>
            <w:tcBorders>
              <w:top w:val="nil"/>
              <w:left w:val="nil"/>
              <w:bottom w:val="nil"/>
              <w:right w:val="nil"/>
            </w:tcBorders>
            <w:shd w:val="clear" w:color="auto" w:fill="auto"/>
            <w:noWrap/>
            <w:vAlign w:val="bottom"/>
            <w:hideMark/>
          </w:tcPr>
          <w:p w14:paraId="3FB33B73"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2709.92</w:t>
            </w:r>
          </w:p>
        </w:tc>
        <w:tc>
          <w:tcPr>
            <w:tcW w:w="1339" w:type="dxa"/>
            <w:tcBorders>
              <w:top w:val="nil"/>
              <w:left w:val="nil"/>
              <w:bottom w:val="nil"/>
              <w:right w:val="nil"/>
            </w:tcBorders>
            <w:shd w:val="clear" w:color="auto" w:fill="auto"/>
            <w:noWrap/>
            <w:vAlign w:val="bottom"/>
            <w:hideMark/>
          </w:tcPr>
          <w:p w14:paraId="59FC75A1" w14:textId="774A04A1"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9.84</w:t>
            </w:r>
          </w:p>
        </w:tc>
        <w:tc>
          <w:tcPr>
            <w:tcW w:w="1712" w:type="dxa"/>
            <w:tcBorders>
              <w:top w:val="nil"/>
              <w:left w:val="nil"/>
              <w:bottom w:val="nil"/>
              <w:right w:val="nil"/>
            </w:tcBorders>
            <w:shd w:val="clear" w:color="auto" w:fill="auto"/>
            <w:noWrap/>
            <w:vAlign w:val="bottom"/>
            <w:hideMark/>
          </w:tcPr>
          <w:p w14:paraId="45398CEF"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3.9%</w:t>
            </w:r>
          </w:p>
        </w:tc>
      </w:tr>
      <w:tr w:rsidR="009B00BF" w:rsidRPr="00076A9F" w14:paraId="79AC66B1" w14:textId="77777777" w:rsidTr="009B00BF">
        <w:trPr>
          <w:trHeight w:val="389"/>
        </w:trPr>
        <w:tc>
          <w:tcPr>
            <w:tcW w:w="2811" w:type="dxa"/>
            <w:tcBorders>
              <w:top w:val="nil"/>
              <w:left w:val="nil"/>
              <w:bottom w:val="nil"/>
              <w:right w:val="nil"/>
            </w:tcBorders>
            <w:shd w:val="clear" w:color="auto" w:fill="auto"/>
            <w:noWrap/>
            <w:vAlign w:val="bottom"/>
            <w:hideMark/>
          </w:tcPr>
          <w:p w14:paraId="02529A23" w14:textId="77777777" w:rsidR="009B00BF" w:rsidRPr="00076A9F" w:rsidRDefault="009B00BF" w:rsidP="009B00BF">
            <w:pPr>
              <w:rPr>
                <w:rFonts w:ascii="Arial" w:eastAsia="Times New Roman" w:hAnsi="Arial" w:cs="Arial"/>
                <w:b/>
                <w:bCs/>
                <w:sz w:val="18"/>
                <w:szCs w:val="16"/>
              </w:rPr>
            </w:pPr>
            <w:r w:rsidRPr="00076A9F">
              <w:rPr>
                <w:rFonts w:ascii="Arial" w:eastAsia="Times New Roman" w:hAnsi="Arial" w:cs="Arial"/>
                <w:b/>
                <w:bCs/>
                <w:sz w:val="18"/>
                <w:szCs w:val="16"/>
              </w:rPr>
              <w:t>Marriott Vacations World</w:t>
            </w:r>
          </w:p>
        </w:tc>
        <w:tc>
          <w:tcPr>
            <w:tcW w:w="1075" w:type="dxa"/>
            <w:tcBorders>
              <w:top w:val="nil"/>
              <w:left w:val="nil"/>
              <w:bottom w:val="nil"/>
              <w:right w:val="nil"/>
            </w:tcBorders>
            <w:shd w:val="clear" w:color="auto" w:fill="auto"/>
            <w:noWrap/>
            <w:vAlign w:val="bottom"/>
            <w:hideMark/>
          </w:tcPr>
          <w:p w14:paraId="35EFE3E4"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VAC US</w:t>
            </w:r>
          </w:p>
        </w:tc>
        <w:tc>
          <w:tcPr>
            <w:tcW w:w="2173" w:type="dxa"/>
            <w:tcBorders>
              <w:top w:val="nil"/>
              <w:left w:val="nil"/>
              <w:bottom w:val="nil"/>
              <w:right w:val="nil"/>
            </w:tcBorders>
            <w:shd w:val="clear" w:color="auto" w:fill="auto"/>
            <w:noWrap/>
            <w:vAlign w:val="bottom"/>
            <w:hideMark/>
          </w:tcPr>
          <w:p w14:paraId="4F067DFE"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1516.60</w:t>
            </w:r>
          </w:p>
        </w:tc>
        <w:tc>
          <w:tcPr>
            <w:tcW w:w="1250" w:type="dxa"/>
            <w:tcBorders>
              <w:top w:val="nil"/>
              <w:left w:val="nil"/>
              <w:bottom w:val="nil"/>
              <w:right w:val="nil"/>
            </w:tcBorders>
            <w:shd w:val="clear" w:color="auto" w:fill="auto"/>
            <w:noWrap/>
            <w:vAlign w:val="bottom"/>
            <w:hideMark/>
          </w:tcPr>
          <w:p w14:paraId="471C53C9"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48.82</w:t>
            </w:r>
          </w:p>
        </w:tc>
        <w:tc>
          <w:tcPr>
            <w:tcW w:w="1163" w:type="dxa"/>
            <w:tcBorders>
              <w:top w:val="nil"/>
              <w:left w:val="nil"/>
              <w:bottom w:val="nil"/>
              <w:right w:val="nil"/>
            </w:tcBorders>
            <w:shd w:val="clear" w:color="auto" w:fill="auto"/>
            <w:noWrap/>
            <w:vAlign w:val="bottom"/>
            <w:hideMark/>
          </w:tcPr>
          <w:p w14:paraId="24C7300C"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486.96</w:t>
            </w:r>
          </w:p>
        </w:tc>
        <w:tc>
          <w:tcPr>
            <w:tcW w:w="1339" w:type="dxa"/>
            <w:tcBorders>
              <w:top w:val="nil"/>
              <w:left w:val="nil"/>
              <w:bottom w:val="nil"/>
              <w:right w:val="nil"/>
            </w:tcBorders>
            <w:shd w:val="clear" w:color="auto" w:fill="auto"/>
            <w:noWrap/>
            <w:vAlign w:val="bottom"/>
            <w:hideMark/>
          </w:tcPr>
          <w:p w14:paraId="088AF0AA" w14:textId="71588D60"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8.86</w:t>
            </w:r>
          </w:p>
        </w:tc>
        <w:tc>
          <w:tcPr>
            <w:tcW w:w="1712" w:type="dxa"/>
            <w:tcBorders>
              <w:top w:val="nil"/>
              <w:left w:val="nil"/>
              <w:bottom w:val="nil"/>
              <w:right w:val="nil"/>
            </w:tcBorders>
            <w:shd w:val="clear" w:color="auto" w:fill="auto"/>
            <w:noWrap/>
            <w:vAlign w:val="bottom"/>
            <w:hideMark/>
          </w:tcPr>
          <w:p w14:paraId="553F54FE"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1.5%</w:t>
            </w:r>
          </w:p>
        </w:tc>
      </w:tr>
      <w:tr w:rsidR="009B00BF" w:rsidRPr="00076A9F" w14:paraId="4AA15ED5" w14:textId="77777777" w:rsidTr="009B00BF">
        <w:trPr>
          <w:trHeight w:val="389"/>
        </w:trPr>
        <w:tc>
          <w:tcPr>
            <w:tcW w:w="2811" w:type="dxa"/>
            <w:tcBorders>
              <w:top w:val="nil"/>
              <w:left w:val="nil"/>
              <w:bottom w:val="nil"/>
              <w:right w:val="nil"/>
            </w:tcBorders>
            <w:shd w:val="clear" w:color="auto" w:fill="auto"/>
            <w:noWrap/>
            <w:vAlign w:val="bottom"/>
            <w:hideMark/>
          </w:tcPr>
          <w:p w14:paraId="65EC8D02" w14:textId="77777777" w:rsidR="009B00BF" w:rsidRPr="00076A9F" w:rsidRDefault="009B00BF" w:rsidP="009B00BF">
            <w:pPr>
              <w:rPr>
                <w:rFonts w:ascii="Arial" w:eastAsia="Times New Roman" w:hAnsi="Arial" w:cs="Arial"/>
                <w:b/>
                <w:bCs/>
                <w:sz w:val="18"/>
                <w:szCs w:val="16"/>
              </w:rPr>
            </w:pPr>
            <w:r w:rsidRPr="00076A9F">
              <w:rPr>
                <w:rFonts w:ascii="Arial" w:eastAsia="Times New Roman" w:hAnsi="Arial" w:cs="Arial"/>
                <w:b/>
                <w:bCs/>
                <w:sz w:val="18"/>
                <w:szCs w:val="16"/>
              </w:rPr>
              <w:t xml:space="preserve">Hyatt Hotels Corp </w:t>
            </w:r>
          </w:p>
        </w:tc>
        <w:tc>
          <w:tcPr>
            <w:tcW w:w="1075" w:type="dxa"/>
            <w:tcBorders>
              <w:top w:val="nil"/>
              <w:left w:val="nil"/>
              <w:bottom w:val="nil"/>
              <w:right w:val="nil"/>
            </w:tcBorders>
            <w:shd w:val="clear" w:color="auto" w:fill="auto"/>
            <w:noWrap/>
            <w:vAlign w:val="bottom"/>
            <w:hideMark/>
          </w:tcPr>
          <w:p w14:paraId="3EEA778B"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H US</w:t>
            </w:r>
          </w:p>
        </w:tc>
        <w:tc>
          <w:tcPr>
            <w:tcW w:w="2173" w:type="dxa"/>
            <w:tcBorders>
              <w:top w:val="nil"/>
              <w:left w:val="nil"/>
              <w:bottom w:val="nil"/>
              <w:right w:val="nil"/>
            </w:tcBorders>
            <w:shd w:val="clear" w:color="auto" w:fill="auto"/>
            <w:noWrap/>
            <w:vAlign w:val="bottom"/>
            <w:hideMark/>
          </w:tcPr>
          <w:p w14:paraId="43F8E5F7"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5619.68</w:t>
            </w:r>
          </w:p>
        </w:tc>
        <w:tc>
          <w:tcPr>
            <w:tcW w:w="1250" w:type="dxa"/>
            <w:tcBorders>
              <w:top w:val="nil"/>
              <w:left w:val="nil"/>
              <w:bottom w:val="nil"/>
              <w:right w:val="nil"/>
            </w:tcBorders>
            <w:shd w:val="clear" w:color="auto" w:fill="auto"/>
            <w:noWrap/>
            <w:vAlign w:val="bottom"/>
            <w:hideMark/>
          </w:tcPr>
          <w:p w14:paraId="3E9AFFBC"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40.48</w:t>
            </w:r>
          </w:p>
        </w:tc>
        <w:tc>
          <w:tcPr>
            <w:tcW w:w="1163" w:type="dxa"/>
            <w:tcBorders>
              <w:top w:val="nil"/>
              <w:left w:val="nil"/>
              <w:bottom w:val="nil"/>
              <w:right w:val="nil"/>
            </w:tcBorders>
            <w:shd w:val="clear" w:color="auto" w:fill="auto"/>
            <w:noWrap/>
            <w:vAlign w:val="bottom"/>
            <w:hideMark/>
          </w:tcPr>
          <w:p w14:paraId="5B51A251"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743.00</w:t>
            </w:r>
          </w:p>
        </w:tc>
        <w:tc>
          <w:tcPr>
            <w:tcW w:w="1339" w:type="dxa"/>
            <w:tcBorders>
              <w:top w:val="nil"/>
              <w:left w:val="nil"/>
              <w:bottom w:val="nil"/>
              <w:right w:val="nil"/>
            </w:tcBorders>
            <w:shd w:val="clear" w:color="auto" w:fill="auto"/>
            <w:noWrap/>
            <w:vAlign w:val="bottom"/>
            <w:hideMark/>
          </w:tcPr>
          <w:p w14:paraId="65CCE127" w14:textId="0CF90A95"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9.09</w:t>
            </w:r>
          </w:p>
        </w:tc>
        <w:tc>
          <w:tcPr>
            <w:tcW w:w="1712" w:type="dxa"/>
            <w:tcBorders>
              <w:top w:val="nil"/>
              <w:left w:val="nil"/>
              <w:bottom w:val="nil"/>
              <w:right w:val="nil"/>
            </w:tcBorders>
            <w:shd w:val="clear" w:color="auto" w:fill="auto"/>
            <w:noWrap/>
            <w:vAlign w:val="bottom"/>
            <w:hideMark/>
          </w:tcPr>
          <w:p w14:paraId="7FE68C4D"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0.0%</w:t>
            </w:r>
          </w:p>
        </w:tc>
      </w:tr>
      <w:tr w:rsidR="009B00BF" w:rsidRPr="00076A9F" w14:paraId="02878AD6" w14:textId="77777777" w:rsidTr="009B00BF">
        <w:trPr>
          <w:trHeight w:val="389"/>
        </w:trPr>
        <w:tc>
          <w:tcPr>
            <w:tcW w:w="2811" w:type="dxa"/>
            <w:tcBorders>
              <w:top w:val="nil"/>
              <w:left w:val="nil"/>
              <w:bottom w:val="nil"/>
              <w:right w:val="nil"/>
            </w:tcBorders>
            <w:shd w:val="clear" w:color="auto" w:fill="auto"/>
            <w:noWrap/>
            <w:vAlign w:val="bottom"/>
            <w:hideMark/>
          </w:tcPr>
          <w:p w14:paraId="2BBFEAC5" w14:textId="77777777" w:rsidR="009B00BF" w:rsidRPr="00076A9F" w:rsidRDefault="009B00BF" w:rsidP="009B00BF">
            <w:pPr>
              <w:rPr>
                <w:rFonts w:ascii="Arial" w:eastAsia="Times New Roman" w:hAnsi="Arial" w:cs="Arial"/>
                <w:b/>
                <w:bCs/>
                <w:sz w:val="18"/>
                <w:szCs w:val="16"/>
              </w:rPr>
            </w:pPr>
            <w:r w:rsidRPr="00076A9F">
              <w:rPr>
                <w:rFonts w:ascii="Arial" w:eastAsia="Times New Roman" w:hAnsi="Arial" w:cs="Arial"/>
                <w:b/>
                <w:bCs/>
                <w:sz w:val="18"/>
                <w:szCs w:val="16"/>
              </w:rPr>
              <w:t>Starwood Hotels &amp; Resorts</w:t>
            </w:r>
          </w:p>
        </w:tc>
        <w:tc>
          <w:tcPr>
            <w:tcW w:w="1075" w:type="dxa"/>
            <w:tcBorders>
              <w:top w:val="nil"/>
              <w:left w:val="nil"/>
              <w:bottom w:val="nil"/>
              <w:right w:val="nil"/>
            </w:tcBorders>
            <w:shd w:val="clear" w:color="auto" w:fill="auto"/>
            <w:noWrap/>
            <w:vAlign w:val="bottom"/>
            <w:hideMark/>
          </w:tcPr>
          <w:p w14:paraId="7C9E55CA"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HOT US</w:t>
            </w:r>
          </w:p>
        </w:tc>
        <w:tc>
          <w:tcPr>
            <w:tcW w:w="2173" w:type="dxa"/>
            <w:tcBorders>
              <w:top w:val="nil"/>
              <w:left w:val="nil"/>
              <w:bottom w:val="nil"/>
              <w:right w:val="nil"/>
            </w:tcBorders>
            <w:shd w:val="clear" w:color="auto" w:fill="auto"/>
            <w:noWrap/>
            <w:vAlign w:val="bottom"/>
            <w:hideMark/>
          </w:tcPr>
          <w:p w14:paraId="614E187F"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10482.73</w:t>
            </w:r>
          </w:p>
        </w:tc>
        <w:tc>
          <w:tcPr>
            <w:tcW w:w="1250" w:type="dxa"/>
            <w:tcBorders>
              <w:top w:val="nil"/>
              <w:left w:val="nil"/>
              <w:bottom w:val="nil"/>
              <w:right w:val="nil"/>
            </w:tcBorders>
            <w:shd w:val="clear" w:color="auto" w:fill="auto"/>
            <w:noWrap/>
            <w:vAlign w:val="bottom"/>
            <w:hideMark/>
          </w:tcPr>
          <w:p w14:paraId="0C0EB28E"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62.03</w:t>
            </w:r>
          </w:p>
        </w:tc>
        <w:tc>
          <w:tcPr>
            <w:tcW w:w="1163" w:type="dxa"/>
            <w:tcBorders>
              <w:top w:val="nil"/>
              <w:left w:val="nil"/>
              <w:bottom w:val="nil"/>
              <w:right w:val="nil"/>
            </w:tcBorders>
            <w:shd w:val="clear" w:color="auto" w:fill="auto"/>
            <w:noWrap/>
            <w:vAlign w:val="bottom"/>
            <w:hideMark/>
          </w:tcPr>
          <w:p w14:paraId="2AE4B313"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1295.00</w:t>
            </w:r>
          </w:p>
        </w:tc>
        <w:tc>
          <w:tcPr>
            <w:tcW w:w="1339" w:type="dxa"/>
            <w:tcBorders>
              <w:top w:val="nil"/>
              <w:left w:val="nil"/>
              <w:bottom w:val="nil"/>
              <w:right w:val="nil"/>
            </w:tcBorders>
            <w:shd w:val="clear" w:color="auto" w:fill="auto"/>
            <w:noWrap/>
            <w:vAlign w:val="bottom"/>
            <w:hideMark/>
          </w:tcPr>
          <w:p w14:paraId="22B6B04D" w14:textId="2A7F5658"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9.78</w:t>
            </w:r>
          </w:p>
        </w:tc>
        <w:tc>
          <w:tcPr>
            <w:tcW w:w="1712" w:type="dxa"/>
            <w:tcBorders>
              <w:top w:val="nil"/>
              <w:left w:val="nil"/>
              <w:bottom w:val="nil"/>
              <w:right w:val="nil"/>
            </w:tcBorders>
            <w:shd w:val="clear" w:color="auto" w:fill="auto"/>
            <w:noWrap/>
            <w:vAlign w:val="bottom"/>
            <w:hideMark/>
          </w:tcPr>
          <w:p w14:paraId="55964FFD"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3.4%</w:t>
            </w:r>
          </w:p>
        </w:tc>
      </w:tr>
      <w:tr w:rsidR="009B00BF" w:rsidRPr="00076A9F" w14:paraId="2E114159" w14:textId="77777777" w:rsidTr="009B00BF">
        <w:trPr>
          <w:trHeight w:val="389"/>
        </w:trPr>
        <w:tc>
          <w:tcPr>
            <w:tcW w:w="2811" w:type="dxa"/>
            <w:tcBorders>
              <w:top w:val="nil"/>
              <w:left w:val="nil"/>
              <w:bottom w:val="nil"/>
              <w:right w:val="nil"/>
            </w:tcBorders>
            <w:shd w:val="clear" w:color="auto" w:fill="auto"/>
            <w:noWrap/>
            <w:vAlign w:val="bottom"/>
            <w:hideMark/>
          </w:tcPr>
          <w:p w14:paraId="24E5D2C4" w14:textId="77777777" w:rsidR="009B00BF" w:rsidRPr="00076A9F" w:rsidRDefault="009B00BF" w:rsidP="009B00BF">
            <w:pPr>
              <w:rPr>
                <w:rFonts w:ascii="Arial" w:eastAsia="Times New Roman" w:hAnsi="Arial" w:cs="Arial"/>
                <w:b/>
                <w:bCs/>
                <w:sz w:val="18"/>
                <w:szCs w:val="16"/>
              </w:rPr>
            </w:pPr>
            <w:r w:rsidRPr="00076A9F">
              <w:rPr>
                <w:rFonts w:ascii="Arial" w:eastAsia="Times New Roman" w:hAnsi="Arial" w:cs="Arial"/>
                <w:b/>
                <w:bCs/>
                <w:sz w:val="18"/>
                <w:szCs w:val="16"/>
              </w:rPr>
              <w:t>Hilton Worldwide Holdings</w:t>
            </w:r>
          </w:p>
        </w:tc>
        <w:tc>
          <w:tcPr>
            <w:tcW w:w="1075" w:type="dxa"/>
            <w:tcBorders>
              <w:top w:val="nil"/>
              <w:left w:val="nil"/>
              <w:bottom w:val="nil"/>
              <w:right w:val="nil"/>
            </w:tcBorders>
            <w:shd w:val="clear" w:color="auto" w:fill="auto"/>
            <w:noWrap/>
            <w:vAlign w:val="bottom"/>
            <w:hideMark/>
          </w:tcPr>
          <w:p w14:paraId="1FD36454"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HLT US</w:t>
            </w:r>
          </w:p>
        </w:tc>
        <w:tc>
          <w:tcPr>
            <w:tcW w:w="2173" w:type="dxa"/>
            <w:tcBorders>
              <w:top w:val="nil"/>
              <w:left w:val="nil"/>
              <w:bottom w:val="nil"/>
              <w:right w:val="nil"/>
            </w:tcBorders>
            <w:shd w:val="clear" w:color="auto" w:fill="auto"/>
            <w:noWrap/>
            <w:vAlign w:val="bottom"/>
            <w:hideMark/>
          </w:tcPr>
          <w:p w14:paraId="0BBC9AB3"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17863.00</w:t>
            </w:r>
          </w:p>
        </w:tc>
        <w:tc>
          <w:tcPr>
            <w:tcW w:w="1250" w:type="dxa"/>
            <w:tcBorders>
              <w:top w:val="nil"/>
              <w:left w:val="nil"/>
              <w:bottom w:val="nil"/>
              <w:right w:val="nil"/>
            </w:tcBorders>
            <w:shd w:val="clear" w:color="auto" w:fill="auto"/>
            <w:noWrap/>
            <w:vAlign w:val="bottom"/>
            <w:hideMark/>
          </w:tcPr>
          <w:p w14:paraId="5D8770A2"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18.09</w:t>
            </w:r>
          </w:p>
        </w:tc>
        <w:tc>
          <w:tcPr>
            <w:tcW w:w="1163" w:type="dxa"/>
            <w:tcBorders>
              <w:top w:val="nil"/>
              <w:left w:val="nil"/>
              <w:bottom w:val="nil"/>
              <w:right w:val="nil"/>
            </w:tcBorders>
            <w:shd w:val="clear" w:color="auto" w:fill="auto"/>
            <w:noWrap/>
            <w:vAlign w:val="bottom"/>
            <w:hideMark/>
          </w:tcPr>
          <w:p w14:paraId="2FF8EC1E"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10188.00</w:t>
            </w:r>
          </w:p>
        </w:tc>
        <w:tc>
          <w:tcPr>
            <w:tcW w:w="1339" w:type="dxa"/>
            <w:tcBorders>
              <w:top w:val="nil"/>
              <w:left w:val="nil"/>
              <w:bottom w:val="nil"/>
              <w:right w:val="nil"/>
            </w:tcBorders>
            <w:shd w:val="clear" w:color="auto" w:fill="auto"/>
            <w:noWrap/>
            <w:vAlign w:val="bottom"/>
            <w:hideMark/>
          </w:tcPr>
          <w:p w14:paraId="7B86F8A3"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10.38</w:t>
            </w:r>
          </w:p>
        </w:tc>
        <w:tc>
          <w:tcPr>
            <w:tcW w:w="1712" w:type="dxa"/>
            <w:tcBorders>
              <w:top w:val="nil"/>
              <w:left w:val="nil"/>
              <w:bottom w:val="nil"/>
              <w:right w:val="nil"/>
            </w:tcBorders>
            <w:shd w:val="clear" w:color="auto" w:fill="auto"/>
            <w:noWrap/>
            <w:vAlign w:val="bottom"/>
            <w:hideMark/>
          </w:tcPr>
          <w:p w14:paraId="03FD78D5"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0.8%</w:t>
            </w:r>
          </w:p>
        </w:tc>
      </w:tr>
      <w:tr w:rsidR="009B00BF" w:rsidRPr="00076A9F" w14:paraId="5A640821" w14:textId="77777777" w:rsidTr="009B00BF">
        <w:trPr>
          <w:trHeight w:val="389"/>
        </w:trPr>
        <w:tc>
          <w:tcPr>
            <w:tcW w:w="2811" w:type="dxa"/>
            <w:tcBorders>
              <w:top w:val="nil"/>
              <w:left w:val="nil"/>
              <w:bottom w:val="nil"/>
              <w:right w:val="nil"/>
            </w:tcBorders>
            <w:shd w:val="clear" w:color="auto" w:fill="auto"/>
            <w:noWrap/>
            <w:vAlign w:val="bottom"/>
            <w:hideMark/>
          </w:tcPr>
          <w:p w14:paraId="6704AF1F" w14:textId="166949B9" w:rsidR="009B00BF" w:rsidRPr="00076A9F" w:rsidRDefault="009B00BF" w:rsidP="009B00BF">
            <w:pPr>
              <w:rPr>
                <w:rFonts w:ascii="Arial" w:eastAsia="Times New Roman" w:hAnsi="Arial" w:cs="Arial"/>
                <w:b/>
                <w:bCs/>
                <w:sz w:val="18"/>
                <w:szCs w:val="16"/>
              </w:rPr>
            </w:pPr>
            <w:r w:rsidRPr="00076A9F">
              <w:rPr>
                <w:rFonts w:ascii="Arial" w:eastAsia="Times New Roman" w:hAnsi="Arial" w:cs="Arial"/>
                <w:b/>
                <w:bCs/>
                <w:sz w:val="18"/>
                <w:szCs w:val="16"/>
              </w:rPr>
              <w:t xml:space="preserve">Vail Resorts </w:t>
            </w:r>
            <w:r w:rsidR="006271B4" w:rsidRPr="00076A9F">
              <w:rPr>
                <w:rFonts w:ascii="Arial" w:eastAsia="Times New Roman" w:hAnsi="Arial" w:cs="Arial"/>
                <w:b/>
                <w:bCs/>
                <w:sz w:val="18"/>
                <w:szCs w:val="16"/>
              </w:rPr>
              <w:t>Inc.</w:t>
            </w:r>
          </w:p>
        </w:tc>
        <w:tc>
          <w:tcPr>
            <w:tcW w:w="1075" w:type="dxa"/>
            <w:tcBorders>
              <w:top w:val="nil"/>
              <w:left w:val="nil"/>
              <w:bottom w:val="nil"/>
              <w:right w:val="nil"/>
            </w:tcBorders>
            <w:shd w:val="clear" w:color="auto" w:fill="auto"/>
            <w:noWrap/>
            <w:vAlign w:val="bottom"/>
            <w:hideMark/>
          </w:tcPr>
          <w:p w14:paraId="39BF3684"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MTN US</w:t>
            </w:r>
          </w:p>
        </w:tc>
        <w:tc>
          <w:tcPr>
            <w:tcW w:w="2173" w:type="dxa"/>
            <w:tcBorders>
              <w:top w:val="nil"/>
              <w:left w:val="nil"/>
              <w:bottom w:val="nil"/>
              <w:right w:val="nil"/>
            </w:tcBorders>
            <w:shd w:val="clear" w:color="auto" w:fill="auto"/>
            <w:noWrap/>
            <w:vAlign w:val="bottom"/>
            <w:hideMark/>
          </w:tcPr>
          <w:p w14:paraId="779B4243"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4343.38</w:t>
            </w:r>
          </w:p>
        </w:tc>
        <w:tc>
          <w:tcPr>
            <w:tcW w:w="1250" w:type="dxa"/>
            <w:tcBorders>
              <w:top w:val="nil"/>
              <w:left w:val="nil"/>
              <w:bottom w:val="nil"/>
              <w:right w:val="nil"/>
            </w:tcBorders>
            <w:shd w:val="clear" w:color="auto" w:fill="auto"/>
            <w:noWrap/>
            <w:vAlign w:val="bottom"/>
            <w:hideMark/>
          </w:tcPr>
          <w:p w14:paraId="1A49FC27"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119.85</w:t>
            </w:r>
          </w:p>
        </w:tc>
        <w:tc>
          <w:tcPr>
            <w:tcW w:w="1163" w:type="dxa"/>
            <w:tcBorders>
              <w:top w:val="nil"/>
              <w:left w:val="nil"/>
              <w:bottom w:val="nil"/>
              <w:right w:val="nil"/>
            </w:tcBorders>
            <w:shd w:val="clear" w:color="auto" w:fill="auto"/>
            <w:noWrap/>
            <w:vAlign w:val="bottom"/>
            <w:hideMark/>
          </w:tcPr>
          <w:p w14:paraId="235B28BB" w14:textId="0516826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790.77</w:t>
            </w:r>
          </w:p>
        </w:tc>
        <w:tc>
          <w:tcPr>
            <w:tcW w:w="1339" w:type="dxa"/>
            <w:tcBorders>
              <w:top w:val="nil"/>
              <w:left w:val="nil"/>
              <w:bottom w:val="nil"/>
              <w:right w:val="nil"/>
            </w:tcBorders>
            <w:shd w:val="clear" w:color="auto" w:fill="auto"/>
            <w:noWrap/>
            <w:vAlign w:val="bottom"/>
            <w:hideMark/>
          </w:tcPr>
          <w:p w14:paraId="7B364920"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14.01</w:t>
            </w:r>
          </w:p>
        </w:tc>
        <w:tc>
          <w:tcPr>
            <w:tcW w:w="1712" w:type="dxa"/>
            <w:tcBorders>
              <w:top w:val="nil"/>
              <w:left w:val="nil"/>
              <w:bottom w:val="nil"/>
              <w:right w:val="nil"/>
            </w:tcBorders>
            <w:shd w:val="clear" w:color="auto" w:fill="auto"/>
            <w:noWrap/>
            <w:vAlign w:val="bottom"/>
            <w:hideMark/>
          </w:tcPr>
          <w:p w14:paraId="6CA03D7E"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1.9%</w:t>
            </w:r>
          </w:p>
        </w:tc>
      </w:tr>
      <w:tr w:rsidR="009B00BF" w:rsidRPr="00076A9F" w14:paraId="7D0BF51F" w14:textId="77777777" w:rsidTr="009B00BF">
        <w:trPr>
          <w:trHeight w:val="389"/>
        </w:trPr>
        <w:tc>
          <w:tcPr>
            <w:tcW w:w="2811" w:type="dxa"/>
            <w:tcBorders>
              <w:top w:val="nil"/>
              <w:left w:val="nil"/>
              <w:bottom w:val="nil"/>
              <w:right w:val="nil"/>
            </w:tcBorders>
            <w:shd w:val="clear" w:color="auto" w:fill="auto"/>
            <w:noWrap/>
            <w:vAlign w:val="bottom"/>
            <w:hideMark/>
          </w:tcPr>
          <w:p w14:paraId="4A98AF7B" w14:textId="77777777" w:rsidR="009B00BF" w:rsidRPr="00076A9F" w:rsidRDefault="009B00BF" w:rsidP="009B00BF">
            <w:pPr>
              <w:rPr>
                <w:rFonts w:ascii="Arial" w:eastAsia="Times New Roman" w:hAnsi="Arial" w:cs="Arial"/>
                <w:b/>
                <w:bCs/>
                <w:sz w:val="18"/>
                <w:szCs w:val="16"/>
              </w:rPr>
            </w:pPr>
            <w:r w:rsidRPr="00076A9F">
              <w:rPr>
                <w:rFonts w:ascii="Arial" w:eastAsia="Times New Roman" w:hAnsi="Arial" w:cs="Arial"/>
                <w:b/>
                <w:bCs/>
                <w:sz w:val="18"/>
                <w:szCs w:val="16"/>
              </w:rPr>
              <w:t>Royal Caribbean Cruises LTD</w:t>
            </w:r>
          </w:p>
        </w:tc>
        <w:tc>
          <w:tcPr>
            <w:tcW w:w="1075" w:type="dxa"/>
            <w:tcBorders>
              <w:top w:val="nil"/>
              <w:left w:val="nil"/>
              <w:bottom w:val="nil"/>
              <w:right w:val="nil"/>
            </w:tcBorders>
            <w:shd w:val="clear" w:color="auto" w:fill="auto"/>
            <w:noWrap/>
            <w:vAlign w:val="bottom"/>
            <w:hideMark/>
          </w:tcPr>
          <w:p w14:paraId="5E90E530"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RCL US</w:t>
            </w:r>
          </w:p>
        </w:tc>
        <w:tc>
          <w:tcPr>
            <w:tcW w:w="2173" w:type="dxa"/>
            <w:tcBorders>
              <w:top w:val="nil"/>
              <w:left w:val="nil"/>
              <w:bottom w:val="nil"/>
              <w:right w:val="nil"/>
            </w:tcBorders>
            <w:shd w:val="clear" w:color="auto" w:fill="auto"/>
            <w:noWrap/>
            <w:vAlign w:val="bottom"/>
            <w:hideMark/>
          </w:tcPr>
          <w:p w14:paraId="77B544AA"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16187.26</w:t>
            </w:r>
          </w:p>
        </w:tc>
        <w:tc>
          <w:tcPr>
            <w:tcW w:w="1250" w:type="dxa"/>
            <w:tcBorders>
              <w:top w:val="nil"/>
              <w:left w:val="nil"/>
              <w:bottom w:val="nil"/>
              <w:right w:val="nil"/>
            </w:tcBorders>
            <w:shd w:val="clear" w:color="auto" w:fill="auto"/>
            <w:noWrap/>
            <w:vAlign w:val="bottom"/>
            <w:hideMark/>
          </w:tcPr>
          <w:p w14:paraId="001832FC"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73.58</w:t>
            </w:r>
          </w:p>
        </w:tc>
        <w:tc>
          <w:tcPr>
            <w:tcW w:w="1163" w:type="dxa"/>
            <w:tcBorders>
              <w:top w:val="nil"/>
              <w:left w:val="nil"/>
              <w:bottom w:val="nil"/>
              <w:right w:val="nil"/>
            </w:tcBorders>
            <w:shd w:val="clear" w:color="auto" w:fill="auto"/>
            <w:noWrap/>
            <w:vAlign w:val="bottom"/>
            <w:hideMark/>
          </w:tcPr>
          <w:p w14:paraId="3B689F86"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8545.49</w:t>
            </w:r>
          </w:p>
        </w:tc>
        <w:tc>
          <w:tcPr>
            <w:tcW w:w="1339" w:type="dxa"/>
            <w:tcBorders>
              <w:top w:val="nil"/>
              <w:left w:val="nil"/>
              <w:bottom w:val="nil"/>
              <w:right w:val="nil"/>
            </w:tcBorders>
            <w:shd w:val="clear" w:color="auto" w:fill="auto"/>
            <w:noWrap/>
            <w:vAlign w:val="bottom"/>
            <w:hideMark/>
          </w:tcPr>
          <w:p w14:paraId="37BCB771"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11.73</w:t>
            </w:r>
          </w:p>
        </w:tc>
        <w:tc>
          <w:tcPr>
            <w:tcW w:w="1712" w:type="dxa"/>
            <w:tcBorders>
              <w:top w:val="nil"/>
              <w:left w:val="nil"/>
              <w:bottom w:val="nil"/>
              <w:right w:val="nil"/>
            </w:tcBorders>
            <w:shd w:val="clear" w:color="auto" w:fill="auto"/>
            <w:noWrap/>
            <w:vAlign w:val="bottom"/>
            <w:hideMark/>
          </w:tcPr>
          <w:p w14:paraId="5DD63068"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1.8%</w:t>
            </w:r>
          </w:p>
        </w:tc>
      </w:tr>
      <w:tr w:rsidR="009B00BF" w:rsidRPr="00076A9F" w14:paraId="61B1EF8D" w14:textId="77777777" w:rsidTr="009B00BF">
        <w:trPr>
          <w:trHeight w:val="389"/>
        </w:trPr>
        <w:tc>
          <w:tcPr>
            <w:tcW w:w="2811" w:type="dxa"/>
            <w:tcBorders>
              <w:top w:val="nil"/>
              <w:left w:val="nil"/>
              <w:bottom w:val="nil"/>
              <w:right w:val="nil"/>
            </w:tcBorders>
            <w:shd w:val="clear" w:color="auto" w:fill="auto"/>
            <w:noWrap/>
            <w:vAlign w:val="bottom"/>
            <w:hideMark/>
          </w:tcPr>
          <w:p w14:paraId="4EC7A351" w14:textId="77777777" w:rsidR="009B00BF" w:rsidRPr="00076A9F" w:rsidRDefault="009B00BF" w:rsidP="009B00BF">
            <w:pPr>
              <w:rPr>
                <w:rFonts w:ascii="Arial" w:eastAsia="Times New Roman" w:hAnsi="Arial" w:cs="Arial"/>
                <w:b/>
                <w:bCs/>
                <w:sz w:val="18"/>
                <w:szCs w:val="16"/>
              </w:rPr>
            </w:pPr>
            <w:r w:rsidRPr="00076A9F">
              <w:rPr>
                <w:rFonts w:ascii="Arial" w:eastAsia="Times New Roman" w:hAnsi="Arial" w:cs="Arial"/>
                <w:b/>
                <w:bCs/>
                <w:sz w:val="18"/>
                <w:szCs w:val="16"/>
              </w:rPr>
              <w:t>Carnival Corp</w:t>
            </w:r>
          </w:p>
        </w:tc>
        <w:tc>
          <w:tcPr>
            <w:tcW w:w="1075" w:type="dxa"/>
            <w:tcBorders>
              <w:top w:val="nil"/>
              <w:left w:val="nil"/>
              <w:bottom w:val="nil"/>
              <w:right w:val="nil"/>
            </w:tcBorders>
            <w:shd w:val="clear" w:color="auto" w:fill="auto"/>
            <w:noWrap/>
            <w:vAlign w:val="bottom"/>
            <w:hideMark/>
          </w:tcPr>
          <w:p w14:paraId="5BD13A68"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CCL US</w:t>
            </w:r>
          </w:p>
        </w:tc>
        <w:tc>
          <w:tcPr>
            <w:tcW w:w="2173" w:type="dxa"/>
            <w:tcBorders>
              <w:top w:val="nil"/>
              <w:left w:val="nil"/>
              <w:bottom w:val="nil"/>
              <w:right w:val="nil"/>
            </w:tcBorders>
            <w:shd w:val="clear" w:color="auto" w:fill="auto"/>
            <w:noWrap/>
            <w:vAlign w:val="bottom"/>
            <w:hideMark/>
          </w:tcPr>
          <w:p w14:paraId="04BA9BC6"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35754.18</w:t>
            </w:r>
          </w:p>
        </w:tc>
        <w:tc>
          <w:tcPr>
            <w:tcW w:w="1250" w:type="dxa"/>
            <w:tcBorders>
              <w:top w:val="nil"/>
              <w:left w:val="nil"/>
              <w:bottom w:val="nil"/>
              <w:right w:val="nil"/>
            </w:tcBorders>
            <w:shd w:val="clear" w:color="auto" w:fill="auto"/>
            <w:noWrap/>
            <w:vAlign w:val="bottom"/>
            <w:hideMark/>
          </w:tcPr>
          <w:p w14:paraId="05F6B54D"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45.51</w:t>
            </w:r>
          </w:p>
        </w:tc>
        <w:tc>
          <w:tcPr>
            <w:tcW w:w="1163" w:type="dxa"/>
            <w:tcBorders>
              <w:top w:val="nil"/>
              <w:left w:val="nil"/>
              <w:bottom w:val="nil"/>
              <w:right w:val="nil"/>
            </w:tcBorders>
            <w:shd w:val="clear" w:color="auto" w:fill="auto"/>
            <w:noWrap/>
            <w:vAlign w:val="bottom"/>
            <w:hideMark/>
          </w:tcPr>
          <w:p w14:paraId="6496118E"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7392.00</w:t>
            </w:r>
          </w:p>
        </w:tc>
        <w:tc>
          <w:tcPr>
            <w:tcW w:w="1339" w:type="dxa"/>
            <w:tcBorders>
              <w:top w:val="nil"/>
              <w:left w:val="nil"/>
              <w:bottom w:val="nil"/>
              <w:right w:val="nil"/>
            </w:tcBorders>
            <w:shd w:val="clear" w:color="auto" w:fill="auto"/>
            <w:noWrap/>
            <w:vAlign w:val="bottom"/>
            <w:hideMark/>
          </w:tcPr>
          <w:p w14:paraId="6C2C5278"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10.23</w:t>
            </w:r>
          </w:p>
        </w:tc>
        <w:tc>
          <w:tcPr>
            <w:tcW w:w="1712" w:type="dxa"/>
            <w:tcBorders>
              <w:top w:val="nil"/>
              <w:left w:val="nil"/>
              <w:bottom w:val="nil"/>
              <w:right w:val="nil"/>
            </w:tcBorders>
            <w:shd w:val="clear" w:color="auto" w:fill="auto"/>
            <w:noWrap/>
            <w:vAlign w:val="bottom"/>
            <w:hideMark/>
          </w:tcPr>
          <w:p w14:paraId="7B64B648" w14:textId="77777777" w:rsidR="009B00BF" w:rsidRPr="00076A9F" w:rsidRDefault="009B00BF" w:rsidP="009B00BF">
            <w:pPr>
              <w:jc w:val="right"/>
              <w:rPr>
                <w:rFonts w:ascii="Calibri" w:eastAsia="Times New Roman" w:hAnsi="Calibri"/>
                <w:color w:val="000000"/>
                <w:sz w:val="18"/>
                <w:szCs w:val="16"/>
              </w:rPr>
            </w:pPr>
            <w:r w:rsidRPr="00076A9F">
              <w:rPr>
                <w:rFonts w:ascii="Calibri" w:eastAsia="Times New Roman" w:hAnsi="Calibri"/>
                <w:color w:val="000000"/>
                <w:sz w:val="18"/>
                <w:szCs w:val="16"/>
              </w:rPr>
              <w:t>2.4%</w:t>
            </w:r>
          </w:p>
        </w:tc>
      </w:tr>
      <w:tr w:rsidR="009B00BF" w:rsidRPr="00076A9F" w14:paraId="47C28607" w14:textId="77777777" w:rsidTr="009B00BF">
        <w:trPr>
          <w:trHeight w:val="389"/>
        </w:trPr>
        <w:tc>
          <w:tcPr>
            <w:tcW w:w="2811" w:type="dxa"/>
            <w:tcBorders>
              <w:top w:val="nil"/>
              <w:left w:val="nil"/>
              <w:bottom w:val="nil"/>
              <w:right w:val="nil"/>
            </w:tcBorders>
            <w:shd w:val="clear" w:color="000000" w:fill="B4C6E7"/>
            <w:noWrap/>
            <w:vAlign w:val="bottom"/>
            <w:hideMark/>
          </w:tcPr>
          <w:p w14:paraId="023FD6C2" w14:textId="77777777" w:rsidR="009B00BF" w:rsidRPr="00076A9F" w:rsidRDefault="009B00BF" w:rsidP="009B00BF">
            <w:pPr>
              <w:rPr>
                <w:rFonts w:ascii="Arial" w:eastAsia="Times New Roman" w:hAnsi="Arial" w:cs="Arial"/>
                <w:b/>
                <w:bCs/>
                <w:sz w:val="16"/>
                <w:szCs w:val="16"/>
              </w:rPr>
            </w:pPr>
            <w:r w:rsidRPr="00076A9F">
              <w:rPr>
                <w:rFonts w:ascii="Arial" w:eastAsia="Times New Roman" w:hAnsi="Arial" w:cs="Arial"/>
                <w:b/>
                <w:bCs/>
                <w:sz w:val="18"/>
                <w:szCs w:val="16"/>
              </w:rPr>
              <w:lastRenderedPageBreak/>
              <w:t>Average</w:t>
            </w:r>
          </w:p>
        </w:tc>
        <w:tc>
          <w:tcPr>
            <w:tcW w:w="1075" w:type="dxa"/>
            <w:tcBorders>
              <w:top w:val="nil"/>
              <w:left w:val="nil"/>
              <w:bottom w:val="nil"/>
              <w:right w:val="nil"/>
            </w:tcBorders>
            <w:shd w:val="clear" w:color="000000" w:fill="B4C6E7"/>
            <w:noWrap/>
            <w:vAlign w:val="bottom"/>
            <w:hideMark/>
          </w:tcPr>
          <w:p w14:paraId="661E7E7B" w14:textId="77777777" w:rsidR="009B00BF" w:rsidRPr="00076A9F" w:rsidRDefault="009B00BF" w:rsidP="009B00BF">
            <w:pPr>
              <w:rPr>
                <w:rFonts w:ascii="Arial" w:eastAsia="Times New Roman" w:hAnsi="Arial" w:cs="Arial"/>
                <w:b/>
                <w:bCs/>
                <w:sz w:val="16"/>
                <w:szCs w:val="16"/>
              </w:rPr>
            </w:pPr>
            <w:r w:rsidRPr="00076A9F">
              <w:rPr>
                <w:rFonts w:ascii="Arial" w:eastAsia="Times New Roman" w:hAnsi="Arial" w:cs="Arial"/>
                <w:b/>
                <w:bCs/>
                <w:sz w:val="16"/>
                <w:szCs w:val="16"/>
              </w:rPr>
              <w:t> </w:t>
            </w:r>
          </w:p>
        </w:tc>
        <w:tc>
          <w:tcPr>
            <w:tcW w:w="2173" w:type="dxa"/>
            <w:tcBorders>
              <w:top w:val="nil"/>
              <w:left w:val="nil"/>
              <w:bottom w:val="nil"/>
              <w:right w:val="nil"/>
            </w:tcBorders>
            <w:shd w:val="clear" w:color="000000" w:fill="B4C6E7"/>
            <w:noWrap/>
            <w:vAlign w:val="bottom"/>
            <w:hideMark/>
          </w:tcPr>
          <w:p w14:paraId="3AE722C2" w14:textId="77777777" w:rsidR="009B00BF" w:rsidRPr="00076A9F" w:rsidRDefault="009B00BF" w:rsidP="009B00BF">
            <w:pPr>
              <w:jc w:val="right"/>
              <w:rPr>
                <w:rFonts w:ascii="Arial" w:eastAsia="Times New Roman" w:hAnsi="Arial" w:cs="Arial"/>
                <w:b/>
                <w:bCs/>
                <w:sz w:val="16"/>
                <w:szCs w:val="16"/>
              </w:rPr>
            </w:pPr>
            <w:r w:rsidRPr="00076A9F">
              <w:rPr>
                <w:rFonts w:ascii="Arial" w:eastAsia="Times New Roman" w:hAnsi="Arial" w:cs="Arial"/>
                <w:b/>
                <w:bCs/>
                <w:sz w:val="16"/>
                <w:szCs w:val="16"/>
              </w:rPr>
              <w:t>10563.28</w:t>
            </w:r>
          </w:p>
        </w:tc>
        <w:tc>
          <w:tcPr>
            <w:tcW w:w="1250" w:type="dxa"/>
            <w:tcBorders>
              <w:top w:val="nil"/>
              <w:left w:val="nil"/>
              <w:bottom w:val="nil"/>
              <w:right w:val="nil"/>
            </w:tcBorders>
            <w:shd w:val="clear" w:color="000000" w:fill="B4C6E7"/>
            <w:noWrap/>
            <w:vAlign w:val="bottom"/>
            <w:hideMark/>
          </w:tcPr>
          <w:p w14:paraId="502D3070" w14:textId="77777777" w:rsidR="009B00BF" w:rsidRPr="00076A9F" w:rsidRDefault="009B00BF" w:rsidP="009B00BF">
            <w:pPr>
              <w:jc w:val="right"/>
              <w:rPr>
                <w:rFonts w:ascii="Arial" w:eastAsia="Times New Roman" w:hAnsi="Arial" w:cs="Arial"/>
                <w:b/>
                <w:bCs/>
                <w:sz w:val="16"/>
                <w:szCs w:val="16"/>
              </w:rPr>
            </w:pPr>
            <w:r w:rsidRPr="00076A9F">
              <w:rPr>
                <w:rFonts w:ascii="Arial" w:eastAsia="Times New Roman" w:hAnsi="Arial" w:cs="Arial"/>
                <w:b/>
                <w:bCs/>
                <w:sz w:val="16"/>
                <w:szCs w:val="16"/>
              </w:rPr>
              <w:t>48.70</w:t>
            </w:r>
          </w:p>
        </w:tc>
        <w:tc>
          <w:tcPr>
            <w:tcW w:w="1163" w:type="dxa"/>
            <w:tcBorders>
              <w:top w:val="nil"/>
              <w:left w:val="nil"/>
              <w:bottom w:val="nil"/>
              <w:right w:val="nil"/>
            </w:tcBorders>
            <w:shd w:val="clear" w:color="000000" w:fill="B4C6E7"/>
            <w:noWrap/>
            <w:vAlign w:val="bottom"/>
            <w:hideMark/>
          </w:tcPr>
          <w:p w14:paraId="70A808DC" w14:textId="77777777" w:rsidR="009B00BF" w:rsidRPr="00076A9F" w:rsidRDefault="009B00BF" w:rsidP="009B00BF">
            <w:pPr>
              <w:jc w:val="right"/>
              <w:rPr>
                <w:rFonts w:ascii="Arial" w:eastAsia="Times New Roman" w:hAnsi="Arial" w:cs="Arial"/>
                <w:b/>
                <w:bCs/>
                <w:sz w:val="16"/>
                <w:szCs w:val="16"/>
              </w:rPr>
            </w:pPr>
            <w:r w:rsidRPr="00076A9F">
              <w:rPr>
                <w:rFonts w:ascii="Arial" w:eastAsia="Times New Roman" w:hAnsi="Arial" w:cs="Arial"/>
                <w:b/>
                <w:bCs/>
                <w:sz w:val="16"/>
                <w:szCs w:val="16"/>
              </w:rPr>
              <w:t>3591.15</w:t>
            </w:r>
          </w:p>
        </w:tc>
        <w:tc>
          <w:tcPr>
            <w:tcW w:w="1339" w:type="dxa"/>
            <w:tcBorders>
              <w:top w:val="nil"/>
              <w:left w:val="nil"/>
              <w:bottom w:val="nil"/>
              <w:right w:val="nil"/>
            </w:tcBorders>
            <w:shd w:val="clear" w:color="000000" w:fill="B4C6E7"/>
            <w:noWrap/>
            <w:vAlign w:val="bottom"/>
            <w:hideMark/>
          </w:tcPr>
          <w:p w14:paraId="7968C765" w14:textId="218C79BE" w:rsidR="009B00BF" w:rsidRPr="00076A9F" w:rsidRDefault="00742D76" w:rsidP="009B00BF">
            <w:pPr>
              <w:jc w:val="right"/>
              <w:rPr>
                <w:rFonts w:ascii="Arial" w:eastAsia="Times New Roman" w:hAnsi="Arial" w:cs="Arial"/>
                <w:b/>
                <w:bCs/>
                <w:sz w:val="16"/>
                <w:szCs w:val="16"/>
              </w:rPr>
            </w:pPr>
            <w:r>
              <w:rPr>
                <w:rFonts w:ascii="Arial" w:eastAsia="Times New Roman" w:hAnsi="Arial" w:cs="Arial"/>
                <w:b/>
                <w:bCs/>
                <w:sz w:val="16"/>
                <w:szCs w:val="16"/>
              </w:rPr>
              <w:t>10.70</w:t>
            </w:r>
          </w:p>
        </w:tc>
        <w:tc>
          <w:tcPr>
            <w:tcW w:w="1712" w:type="dxa"/>
            <w:tcBorders>
              <w:top w:val="nil"/>
              <w:left w:val="nil"/>
              <w:bottom w:val="nil"/>
              <w:right w:val="nil"/>
            </w:tcBorders>
            <w:shd w:val="clear" w:color="000000" w:fill="B4C6E7"/>
            <w:noWrap/>
            <w:vAlign w:val="bottom"/>
            <w:hideMark/>
          </w:tcPr>
          <w:p w14:paraId="43B6680D" w14:textId="77777777" w:rsidR="009B00BF" w:rsidRPr="00076A9F" w:rsidRDefault="009B00BF" w:rsidP="009B00BF">
            <w:pPr>
              <w:jc w:val="right"/>
              <w:rPr>
                <w:rFonts w:ascii="Arial" w:eastAsia="Times New Roman" w:hAnsi="Arial" w:cs="Arial"/>
                <w:b/>
                <w:bCs/>
                <w:sz w:val="16"/>
                <w:szCs w:val="16"/>
              </w:rPr>
            </w:pPr>
            <w:r w:rsidRPr="00076A9F">
              <w:rPr>
                <w:rFonts w:ascii="Arial" w:eastAsia="Times New Roman" w:hAnsi="Arial" w:cs="Arial"/>
                <w:b/>
                <w:bCs/>
                <w:sz w:val="16"/>
                <w:szCs w:val="16"/>
              </w:rPr>
              <w:t>2.2%</w:t>
            </w:r>
          </w:p>
        </w:tc>
      </w:tr>
    </w:tbl>
    <w:p w14:paraId="2DCB035E" w14:textId="71EEF26A" w:rsidR="00076A9F" w:rsidRDefault="00076A9F" w:rsidP="009B00BF">
      <w:pPr>
        <w:jc w:val="both"/>
        <w:rPr>
          <w:rFonts w:ascii="Times New Roman" w:hAnsi="Times New Roman"/>
          <w:b/>
        </w:rPr>
      </w:pPr>
    </w:p>
    <w:p w14:paraId="604CEB30" w14:textId="6B04F29C" w:rsidR="00076A9F" w:rsidRDefault="00BD37FA" w:rsidP="00076A9F">
      <w:pPr>
        <w:ind w:left="2160"/>
        <w:jc w:val="both"/>
        <w:rPr>
          <w:rFonts w:ascii="Times New Roman" w:hAnsi="Times New Roman"/>
        </w:rPr>
      </w:pPr>
      <w:r>
        <w:rPr>
          <w:noProof/>
          <w:lang w:val="en-CA" w:eastAsia="en-CA"/>
        </w:rPr>
        <w:drawing>
          <wp:anchor distT="0" distB="0" distL="114300" distR="114300" simplePos="0" relativeHeight="251671040" behindDoc="1" locked="0" layoutInCell="1" allowOverlap="1" wp14:anchorId="6D5246DC" wp14:editId="0F9E0DC3">
            <wp:simplePos x="0" y="0"/>
            <wp:positionH relativeFrom="column">
              <wp:posOffset>-619017</wp:posOffset>
            </wp:positionH>
            <wp:positionV relativeFrom="paragraph">
              <wp:posOffset>400085</wp:posOffset>
            </wp:positionV>
            <wp:extent cx="1905000" cy="3152775"/>
            <wp:effectExtent l="0" t="0" r="0" b="0"/>
            <wp:wrapNone/>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9B00BF">
        <w:rPr>
          <w:rFonts w:ascii="Times New Roman" w:hAnsi="Times New Roman"/>
        </w:rPr>
        <w:t xml:space="preserve">Companies selected as appropriate comparables for the relative valuation are companies in the Entertainment Resort and Hospitality Sector. With Vail Resorts </w:t>
      </w:r>
      <w:r w:rsidR="006271B4">
        <w:rPr>
          <w:rFonts w:ascii="Times New Roman" w:hAnsi="Times New Roman"/>
        </w:rPr>
        <w:t>Inc.</w:t>
      </w:r>
      <w:r w:rsidR="009B00BF">
        <w:rPr>
          <w:rFonts w:ascii="Times New Roman" w:hAnsi="Times New Roman"/>
        </w:rPr>
        <w:t xml:space="preserve"> being the closest comparable as both firms operate in the Winter Spor</w:t>
      </w:r>
      <w:r w:rsidR="00EC1098">
        <w:rPr>
          <w:rFonts w:ascii="Times New Roman" w:hAnsi="Times New Roman"/>
        </w:rPr>
        <w:t xml:space="preserve">t Resort business. However </w:t>
      </w:r>
      <w:r w:rsidR="00742D76">
        <w:rPr>
          <w:rFonts w:ascii="Times New Roman" w:hAnsi="Times New Roman"/>
        </w:rPr>
        <w:t>MTN</w:t>
      </w:r>
      <w:r w:rsidR="00EC1098">
        <w:rPr>
          <w:rFonts w:ascii="Times New Roman" w:hAnsi="Times New Roman"/>
        </w:rPr>
        <w:t xml:space="preserve"> operates worldwide and its revenue streams come from </w:t>
      </w:r>
      <w:r w:rsidR="006271B4">
        <w:rPr>
          <w:rFonts w:ascii="Times New Roman" w:hAnsi="Times New Roman"/>
        </w:rPr>
        <w:t>its</w:t>
      </w:r>
      <w:r w:rsidR="00EC1098">
        <w:rPr>
          <w:rFonts w:ascii="Times New Roman" w:hAnsi="Times New Roman"/>
        </w:rPr>
        <w:t xml:space="preserve"> resorts, lodging and real estate business. </w:t>
      </w:r>
      <w:r w:rsidR="00742D76">
        <w:rPr>
          <w:rFonts w:ascii="Times New Roman" w:hAnsi="Times New Roman"/>
        </w:rPr>
        <w:t>MTN</w:t>
      </w:r>
      <w:r w:rsidR="00EC1098">
        <w:rPr>
          <w:rFonts w:ascii="Times New Roman" w:hAnsi="Times New Roman"/>
        </w:rPr>
        <w:t xml:space="preserve">’s EV/EBIDTA multiple is also the highest among its peers, which reflects the stronger confidence in the future growth of </w:t>
      </w:r>
      <w:r w:rsidR="00742D76">
        <w:rPr>
          <w:rFonts w:ascii="Times New Roman" w:hAnsi="Times New Roman"/>
        </w:rPr>
        <w:t>MTN</w:t>
      </w:r>
      <w:r w:rsidR="00EC1098">
        <w:rPr>
          <w:rFonts w:ascii="Times New Roman" w:hAnsi="Times New Roman"/>
        </w:rPr>
        <w:t xml:space="preserve"> </w:t>
      </w:r>
      <w:r w:rsidR="00742D76">
        <w:rPr>
          <w:rFonts w:ascii="Times New Roman" w:hAnsi="Times New Roman"/>
        </w:rPr>
        <w:t xml:space="preserve">when </w:t>
      </w:r>
      <w:r w:rsidR="00EC1098">
        <w:rPr>
          <w:rFonts w:ascii="Times New Roman" w:hAnsi="Times New Roman"/>
        </w:rPr>
        <w:t>compared to</w:t>
      </w:r>
      <w:r w:rsidR="00742D76">
        <w:rPr>
          <w:rFonts w:ascii="Times New Roman" w:hAnsi="Times New Roman"/>
        </w:rPr>
        <w:t xml:space="preserve"> WB</w:t>
      </w:r>
      <w:r w:rsidR="00EC1098">
        <w:rPr>
          <w:rFonts w:ascii="Times New Roman" w:hAnsi="Times New Roman"/>
        </w:rPr>
        <w:t>.</w:t>
      </w:r>
      <w:r w:rsidR="00742D76">
        <w:rPr>
          <w:rFonts w:ascii="Times New Roman" w:hAnsi="Times New Roman"/>
        </w:rPr>
        <w:t xml:space="preserve"> However it is important to note that the Dividend Yield of MTN is lower than WB, and </w:t>
      </w:r>
      <w:r w:rsidR="006271B4">
        <w:rPr>
          <w:rFonts w:ascii="Times New Roman" w:hAnsi="Times New Roman"/>
        </w:rPr>
        <w:t>its</w:t>
      </w:r>
      <w:r w:rsidR="00742D76">
        <w:rPr>
          <w:rFonts w:ascii="Times New Roman" w:hAnsi="Times New Roman"/>
        </w:rPr>
        <w:t xml:space="preserve"> dividends have been quite inconsistent in the past 5 years, while WB has had a consisten</w:t>
      </w:r>
      <w:r>
        <w:rPr>
          <w:rFonts w:ascii="Times New Roman" w:hAnsi="Times New Roman"/>
        </w:rPr>
        <w:t>t dividend number for the last four</w:t>
      </w:r>
      <w:r w:rsidR="00742D76">
        <w:rPr>
          <w:rFonts w:ascii="Times New Roman" w:hAnsi="Times New Roman"/>
        </w:rPr>
        <w:t xml:space="preserve"> years.</w:t>
      </w:r>
    </w:p>
    <w:p w14:paraId="64845E64" w14:textId="7AA787AC" w:rsidR="00EC1098" w:rsidRDefault="00EC1098" w:rsidP="00076A9F">
      <w:pPr>
        <w:ind w:left="2160"/>
        <w:jc w:val="both"/>
        <w:rPr>
          <w:rFonts w:ascii="Times New Roman" w:hAnsi="Times New Roman"/>
        </w:rPr>
      </w:pPr>
    </w:p>
    <w:p w14:paraId="21FF028B" w14:textId="00BD748A" w:rsidR="007A6E22" w:rsidRPr="00ED2414" w:rsidRDefault="00BD37FA" w:rsidP="00132619">
      <w:pPr>
        <w:ind w:left="2160"/>
        <w:jc w:val="both"/>
        <w:rPr>
          <w:rFonts w:ascii="Times New Roman" w:hAnsi="Times New Roman"/>
        </w:rPr>
      </w:pPr>
      <w:r w:rsidRPr="00045571">
        <w:rPr>
          <w:rFonts w:ascii="Times New Roman" w:hAnsi="Times New Roman"/>
          <w:noProof/>
          <w:lang w:val="en-CA" w:eastAsia="en-CA"/>
        </w:rPr>
        <mc:AlternateContent>
          <mc:Choice Requires="wps">
            <w:drawing>
              <wp:anchor distT="45720" distB="45720" distL="114300" distR="114300" simplePos="0" relativeHeight="251673088" behindDoc="0" locked="0" layoutInCell="1" allowOverlap="1" wp14:anchorId="31B68191" wp14:editId="0E7BF43E">
                <wp:simplePos x="0" y="0"/>
                <wp:positionH relativeFrom="margin">
                  <wp:posOffset>-118852</wp:posOffset>
                </wp:positionH>
                <wp:positionV relativeFrom="paragraph">
                  <wp:posOffset>383205</wp:posOffset>
                </wp:positionV>
                <wp:extent cx="676275" cy="250190"/>
                <wp:effectExtent l="0" t="133350" r="0" b="149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58678">
                          <a:off x="0" y="0"/>
                          <a:ext cx="676275" cy="250190"/>
                        </a:xfrm>
                        <a:prstGeom prst="rect">
                          <a:avLst/>
                        </a:prstGeom>
                        <a:noFill/>
                        <a:ln w="9525">
                          <a:noFill/>
                          <a:miter lim="800000"/>
                          <a:headEnd/>
                          <a:tailEnd/>
                        </a:ln>
                      </wps:spPr>
                      <wps:txbx>
                        <w:txbxContent>
                          <w:p w14:paraId="15DCBB29" w14:textId="36B5C398" w:rsidR="00412E12" w:rsidRDefault="00412E12">
                            <w:r>
                              <w:t>19.58%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8191" id="_x0000_s1029" type="#_x0000_t202" style="position:absolute;left:0;text-align:left;margin-left:-9.35pt;margin-top:30.15pt;width:53.25pt;height:19.7pt;rotation:-2775801fd;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qfGQIAAAkEAAAOAAAAZHJzL2Uyb0RvYy54bWysU9uO2yAQfa/Uf0C8N740zsWKs9rudqtK&#10;24u02w8gGMeowFAgsdOv74DTbNS+VeUBATNzZs6ZYXMzakWOwnkJpqHFLKdEGA6tNPuGfnt+eLOi&#10;xAdmWqbAiIaehKc329evNoOtRQk9qFY4giDG14NtaB+CrbPM815o5mdghUFjB06zgFe3z1rHBkTX&#10;KivzfJEN4FrrgAvv8fV+MtJtwu86wcOXrvMiENVQrC2k3aV9F/dsu2H13jHbS34ug/1DFZpJg0kv&#10;UPcsMHJw8i8oLbkDD12YcdAZdJ3kInFANkX+B5unnlmRuKA43l5k8v8Pln8+fnVEtg0tiyUlhmls&#10;0rMYA3kHIymjPoP1Nbo9WXQMIz5jnxNXbx+Bf/fEwF3PzF7cOgdDL1iL9RUxMrsKnXB8BNkNn6DF&#10;NOwQIAGNndPEATanWOfVarFcpWdUh2AybNvp0qpYGcfHxXJRLitKOJrKKse4lJDVESs2wjofPgjQ&#10;JB4a6nASEig7PvoQa3txie4GHqRSaRqUIUND11VZpYAri5YBh1VJ3dBVHtc0PpHye9Om4MCkms6Y&#10;QJmzBpH2JEAYd2OS++1vaXfQnlCURB+p4l/CcntwPykZcC4b6n8cmBOUqI8GhV0X83kc5HSZV8sS&#10;L+7asru2MMMRqqGBkul4F9LwT5RvsQGdTGrETk2VnEvGeUsinf9GHOjre/J6+cHbXwAAAP//AwBQ&#10;SwMEFAAGAAgAAAAhAGnOmNXdAAAACAEAAA8AAABkcnMvZG93bnJldi54bWxMjzFPwzAQhXck/oN1&#10;SGytU5CaNMSpqkjA0oW2Szc3PhIL+xzFbhP+PccE4+k+vfe9ajt7J244RhtIwWqZgUBqg7HUKTgd&#10;XxcFiJg0Ge0CoYJvjLCt7+8qXZow0QfeDqkTHEKx1Ar6lIZSytj26HVchgGJf59h9DrxOXbSjHri&#10;cO/kU5atpdeWuKHXAzY9tl+Hq1cwvcXG7c/7drQ7aezx3Z4oNUo9Psy7FxAJ5/QHw68+q0PNTpdw&#10;JROFU7BYFTmjCtbZMwgGipynXBRsNjnIupL/B9Q/AAAA//8DAFBLAQItABQABgAIAAAAIQC2gziS&#10;/gAAAOEBAAATAAAAAAAAAAAAAAAAAAAAAABbQ29udGVudF9UeXBlc10ueG1sUEsBAi0AFAAGAAgA&#10;AAAhADj9If/WAAAAlAEAAAsAAAAAAAAAAAAAAAAALwEAAF9yZWxzLy5yZWxzUEsBAi0AFAAGAAgA&#10;AAAhAOyBup8ZAgAACQQAAA4AAAAAAAAAAAAAAAAALgIAAGRycy9lMm9Eb2MueG1sUEsBAi0AFAAG&#10;AAgAAAAhAGnOmNXdAAAACAEAAA8AAAAAAAAAAAAAAAAAcwQAAGRycy9kb3ducmV2LnhtbFBLBQYA&#10;AAAABAAEAPMAAAB9BQAAAAA=&#10;" filled="f" stroked="f">
                <v:textbox>
                  <w:txbxContent>
                    <w:p w14:paraId="15DCBB29" w14:textId="36B5C398" w:rsidR="00412E12" w:rsidRDefault="00412E12">
                      <w:r>
                        <w:t>19.58%</w:t>
                      </w:r>
                    </w:p>
                  </w:txbxContent>
                </v:textbox>
                <w10:wrap type="square" anchorx="margin"/>
              </v:shape>
            </w:pict>
          </mc:Fallback>
        </mc:AlternateContent>
      </w:r>
      <w:r w:rsidR="00742D76">
        <w:rPr>
          <w:rFonts w:ascii="Times New Roman" w:hAnsi="Times New Roman"/>
        </w:rPr>
        <w:t xml:space="preserve">The rest of the comparable firms selected are leading players in the hospitality sector, note that the generally low EV/EBITDA multiples reflect the limited growth potential of these firms and its mature business stage. </w:t>
      </w:r>
    </w:p>
    <w:p w14:paraId="3447DF7D" w14:textId="27FBC4E6" w:rsidR="00656319" w:rsidRPr="00ED2414" w:rsidRDefault="00656319" w:rsidP="00656319">
      <w:pPr>
        <w:pStyle w:val="Heading2"/>
        <w:ind w:left="2160"/>
        <w:jc w:val="both"/>
        <w:rPr>
          <w:rFonts w:ascii="Times New Roman" w:hAnsi="Times New Roman"/>
          <w:sz w:val="28"/>
          <w:szCs w:val="28"/>
        </w:rPr>
      </w:pPr>
      <w:r w:rsidRPr="00ED2414">
        <w:rPr>
          <w:rFonts w:ascii="Times New Roman" w:hAnsi="Times New Roman"/>
          <w:sz w:val="28"/>
          <w:szCs w:val="28"/>
        </w:rPr>
        <w:t>Investment Risks</w:t>
      </w:r>
      <w:r w:rsidR="00045571" w:rsidRPr="00045571">
        <w:rPr>
          <w:noProof/>
        </w:rPr>
        <w:t xml:space="preserve"> </w:t>
      </w:r>
    </w:p>
    <w:p w14:paraId="445588F7" w14:textId="797FD58E" w:rsidR="00656319" w:rsidRPr="00ED2414" w:rsidRDefault="00656319" w:rsidP="00656319">
      <w:pPr>
        <w:rPr>
          <w:rFonts w:ascii="Times New Roman" w:hAnsi="Times New Roman"/>
        </w:rPr>
      </w:pPr>
    </w:p>
    <w:p w14:paraId="20743B4E" w14:textId="39786F22" w:rsidR="00656319" w:rsidRPr="00ED2414" w:rsidRDefault="005C48AD" w:rsidP="00656319">
      <w:pPr>
        <w:ind w:left="2160"/>
        <w:rPr>
          <w:rFonts w:ascii="Times New Roman" w:hAnsi="Times New Roman"/>
          <w:b/>
        </w:rPr>
      </w:pPr>
      <w:r>
        <w:rPr>
          <w:rFonts w:ascii="Times New Roman" w:hAnsi="Times New Roman"/>
          <w:b/>
        </w:rPr>
        <w:t>Climate/Climate Risk</w:t>
      </w:r>
    </w:p>
    <w:p w14:paraId="2613F56E" w14:textId="12F9CAD1" w:rsidR="00656319" w:rsidRPr="00ED2414" w:rsidRDefault="00656319" w:rsidP="00656319">
      <w:pPr>
        <w:ind w:left="2160"/>
        <w:rPr>
          <w:rFonts w:ascii="Times New Roman" w:hAnsi="Times New Roman"/>
        </w:rPr>
      </w:pPr>
      <w:r w:rsidRPr="00ED2414">
        <w:rPr>
          <w:rFonts w:ascii="Times New Roman" w:hAnsi="Times New Roman"/>
        </w:rPr>
        <w:t xml:space="preserve">The main investment risk being the impact of climate and weather patterns as global warming has seen a minimal change in temperature on the mountain compared to over a one degree change at the village base. It is an El Niño year so this has the potential to hinder the expected snowfall that WB will receive. Whistler’s capability to expand is also a potential limitation as it is difficult to increase the number of runs they currently have with the given terrain. They also have a limited ability to be innovative as their growth of offerings is fairly stagnant. </w:t>
      </w:r>
    </w:p>
    <w:p w14:paraId="66BB4B7C" w14:textId="07DD19F3" w:rsidR="00656319" w:rsidRPr="00ED2414" w:rsidRDefault="00656319" w:rsidP="00656319">
      <w:pPr>
        <w:ind w:left="2160"/>
        <w:rPr>
          <w:rFonts w:ascii="Times New Roman" w:hAnsi="Times New Roman"/>
          <w:b/>
        </w:rPr>
      </w:pPr>
    </w:p>
    <w:p w14:paraId="3A4BBBAC" w14:textId="1A143557" w:rsidR="00656319" w:rsidRPr="00ED2414" w:rsidRDefault="00861E42" w:rsidP="00656319">
      <w:pPr>
        <w:ind w:left="2160"/>
        <w:rPr>
          <w:rFonts w:ascii="Times New Roman" w:hAnsi="Times New Roman"/>
          <w:b/>
        </w:rPr>
      </w:pPr>
      <w:r>
        <w:rPr>
          <w:rFonts w:ascii="Times New Roman" w:hAnsi="Times New Roman"/>
          <w:b/>
        </w:rPr>
        <w:t>Public Relation</w:t>
      </w:r>
      <w:r w:rsidR="005C48AD">
        <w:rPr>
          <w:rFonts w:ascii="Times New Roman" w:hAnsi="Times New Roman"/>
          <w:b/>
        </w:rPr>
        <w:t xml:space="preserve"> Risk</w:t>
      </w:r>
    </w:p>
    <w:tbl>
      <w:tblPr>
        <w:tblpPr w:leftFromText="180" w:rightFromText="180" w:vertAnchor="text" w:horzAnchor="page" w:tblpX="164" w:tblpY="414"/>
        <w:tblOverlap w:val="never"/>
        <w:tblW w:w="2914" w:type="dxa"/>
        <w:tblBorders>
          <w:insideH w:val="single" w:sz="4" w:space="0" w:color="auto"/>
        </w:tblBorders>
        <w:tblLayout w:type="fixed"/>
        <w:tblLook w:val="04A0" w:firstRow="1" w:lastRow="0" w:firstColumn="1" w:lastColumn="0" w:noHBand="0" w:noVBand="1"/>
      </w:tblPr>
      <w:tblGrid>
        <w:gridCol w:w="1398"/>
        <w:gridCol w:w="1516"/>
      </w:tblGrid>
      <w:tr w:rsidR="00082679" w:rsidRPr="002D5934" w14:paraId="73AFE2D2" w14:textId="77777777" w:rsidTr="00082679">
        <w:trPr>
          <w:trHeight w:val="107"/>
        </w:trPr>
        <w:tc>
          <w:tcPr>
            <w:tcW w:w="1398" w:type="dxa"/>
            <w:shd w:val="clear" w:color="000000" w:fill="203764"/>
            <w:noWrap/>
            <w:vAlign w:val="bottom"/>
            <w:hideMark/>
          </w:tcPr>
          <w:p w14:paraId="3D4F18A4" w14:textId="77777777" w:rsidR="00082679" w:rsidRPr="002D5934" w:rsidRDefault="00082679" w:rsidP="00082679">
            <w:pPr>
              <w:rPr>
                <w:rFonts w:ascii="Calibri" w:eastAsia="Times New Roman" w:hAnsi="Calibri"/>
                <w:b/>
                <w:bCs/>
                <w:color w:val="FFFFFF"/>
                <w:sz w:val="22"/>
                <w:szCs w:val="22"/>
              </w:rPr>
            </w:pPr>
            <w:r w:rsidRPr="002D5934">
              <w:rPr>
                <w:rFonts w:ascii="Calibri" w:eastAsia="Times New Roman" w:hAnsi="Calibri"/>
                <w:b/>
                <w:bCs/>
                <w:color w:val="FFFFFF"/>
                <w:sz w:val="22"/>
                <w:szCs w:val="22"/>
              </w:rPr>
              <w:t>Risk</w:t>
            </w:r>
          </w:p>
        </w:tc>
        <w:tc>
          <w:tcPr>
            <w:tcW w:w="1516" w:type="dxa"/>
            <w:shd w:val="clear" w:color="000000" w:fill="203764"/>
            <w:noWrap/>
            <w:vAlign w:val="bottom"/>
            <w:hideMark/>
          </w:tcPr>
          <w:p w14:paraId="1E7117EF" w14:textId="77777777" w:rsidR="00082679" w:rsidRPr="002D5934" w:rsidRDefault="00082679" w:rsidP="00082679">
            <w:pPr>
              <w:rPr>
                <w:rFonts w:ascii="Calibri" w:eastAsia="Times New Roman" w:hAnsi="Calibri"/>
                <w:b/>
                <w:bCs/>
                <w:color w:val="FFFFFF"/>
                <w:sz w:val="22"/>
                <w:szCs w:val="22"/>
              </w:rPr>
            </w:pPr>
            <w:r w:rsidRPr="002D5934">
              <w:rPr>
                <w:rFonts w:ascii="Calibri" w:eastAsia="Times New Roman" w:hAnsi="Calibri"/>
                <w:b/>
                <w:bCs/>
                <w:color w:val="FFFFFF"/>
                <w:sz w:val="22"/>
                <w:szCs w:val="22"/>
              </w:rPr>
              <w:t>Mitigation</w:t>
            </w:r>
          </w:p>
        </w:tc>
      </w:tr>
      <w:tr w:rsidR="00082679" w:rsidRPr="002D5934" w14:paraId="428D5981" w14:textId="77777777" w:rsidTr="00082679">
        <w:trPr>
          <w:trHeight w:val="107"/>
        </w:trPr>
        <w:tc>
          <w:tcPr>
            <w:tcW w:w="1398" w:type="dxa"/>
            <w:shd w:val="clear" w:color="000000" w:fill="FFFFFF"/>
            <w:noWrap/>
            <w:vAlign w:val="bottom"/>
            <w:hideMark/>
          </w:tcPr>
          <w:p w14:paraId="3D9D7891" w14:textId="77777777" w:rsidR="00082679" w:rsidRPr="002D5934" w:rsidRDefault="00082679" w:rsidP="00082679">
            <w:pPr>
              <w:spacing w:line="480" w:lineRule="auto"/>
              <w:jc w:val="center"/>
              <w:rPr>
                <w:rFonts w:ascii="Calibri" w:eastAsia="Times New Roman" w:hAnsi="Calibri"/>
                <w:b/>
                <w:bCs/>
                <w:color w:val="000000"/>
                <w:sz w:val="22"/>
                <w:szCs w:val="22"/>
              </w:rPr>
            </w:pPr>
            <w:r w:rsidRPr="002D5934">
              <w:rPr>
                <w:rFonts w:ascii="Calibri" w:eastAsia="Times New Roman" w:hAnsi="Calibri"/>
                <w:b/>
                <w:bCs/>
                <w:color w:val="000000"/>
                <w:sz w:val="22"/>
                <w:szCs w:val="22"/>
              </w:rPr>
              <w:t>Climate</w:t>
            </w:r>
          </w:p>
        </w:tc>
        <w:tc>
          <w:tcPr>
            <w:tcW w:w="1516" w:type="dxa"/>
            <w:shd w:val="clear" w:color="000000" w:fill="FFFFFF"/>
            <w:noWrap/>
            <w:vAlign w:val="bottom"/>
            <w:hideMark/>
          </w:tcPr>
          <w:p w14:paraId="5D272A44" w14:textId="77777777" w:rsidR="00082679" w:rsidRPr="002D5934" w:rsidRDefault="00082679" w:rsidP="00082679">
            <w:pPr>
              <w:jc w:val="center"/>
              <w:rPr>
                <w:rFonts w:ascii="Calibri" w:eastAsia="Times New Roman" w:hAnsi="Calibri"/>
                <w:color w:val="000000"/>
                <w:sz w:val="22"/>
                <w:szCs w:val="22"/>
              </w:rPr>
            </w:pPr>
            <w:r w:rsidRPr="002D5934">
              <w:rPr>
                <w:rFonts w:ascii="Calibri" w:eastAsia="Times New Roman" w:hAnsi="Calibri"/>
                <w:color w:val="000000"/>
                <w:sz w:val="22"/>
                <w:szCs w:val="22"/>
              </w:rPr>
              <w:t>Reliable snowmaking Infrastructure</w:t>
            </w:r>
          </w:p>
        </w:tc>
      </w:tr>
      <w:tr w:rsidR="00082679" w:rsidRPr="002D5934" w14:paraId="5BDF8564" w14:textId="77777777" w:rsidTr="00082679">
        <w:trPr>
          <w:trHeight w:val="107"/>
        </w:trPr>
        <w:tc>
          <w:tcPr>
            <w:tcW w:w="1398" w:type="dxa"/>
            <w:shd w:val="clear" w:color="000000" w:fill="FFFFFF"/>
            <w:noWrap/>
            <w:vAlign w:val="bottom"/>
            <w:hideMark/>
          </w:tcPr>
          <w:p w14:paraId="43AF8BCB" w14:textId="77777777" w:rsidR="00082679" w:rsidRPr="002D5934" w:rsidRDefault="00082679" w:rsidP="00082679">
            <w:pPr>
              <w:spacing w:line="360" w:lineRule="auto"/>
              <w:jc w:val="center"/>
              <w:rPr>
                <w:rFonts w:ascii="Calibri" w:eastAsia="Times New Roman" w:hAnsi="Calibri"/>
                <w:b/>
                <w:bCs/>
                <w:color w:val="000000"/>
                <w:sz w:val="22"/>
                <w:szCs w:val="22"/>
              </w:rPr>
            </w:pPr>
            <w:r w:rsidRPr="002D5934">
              <w:rPr>
                <w:rFonts w:ascii="Calibri" w:eastAsia="Times New Roman" w:hAnsi="Calibri"/>
                <w:b/>
                <w:bCs/>
                <w:color w:val="000000"/>
                <w:sz w:val="22"/>
                <w:szCs w:val="22"/>
              </w:rPr>
              <w:t>Currency</w:t>
            </w:r>
          </w:p>
        </w:tc>
        <w:tc>
          <w:tcPr>
            <w:tcW w:w="1516" w:type="dxa"/>
            <w:shd w:val="clear" w:color="000000" w:fill="FFFFFF"/>
            <w:noWrap/>
            <w:vAlign w:val="bottom"/>
            <w:hideMark/>
          </w:tcPr>
          <w:p w14:paraId="4092D418" w14:textId="77777777" w:rsidR="00082679" w:rsidRPr="002D5934" w:rsidRDefault="00082679" w:rsidP="00082679">
            <w:pPr>
              <w:jc w:val="center"/>
              <w:rPr>
                <w:rFonts w:ascii="Calibri" w:eastAsia="Times New Roman" w:hAnsi="Calibri"/>
                <w:color w:val="000000"/>
                <w:sz w:val="22"/>
                <w:szCs w:val="22"/>
              </w:rPr>
            </w:pPr>
            <w:r w:rsidRPr="002D5934">
              <w:rPr>
                <w:rFonts w:ascii="Calibri" w:eastAsia="Times New Roman" w:hAnsi="Calibri"/>
                <w:color w:val="000000"/>
                <w:sz w:val="22"/>
                <w:szCs w:val="22"/>
              </w:rPr>
              <w:t>Economies of Scale</w:t>
            </w:r>
          </w:p>
        </w:tc>
      </w:tr>
      <w:tr w:rsidR="00082679" w:rsidRPr="002D5934" w14:paraId="2F0D4C8B" w14:textId="77777777" w:rsidTr="00082679">
        <w:trPr>
          <w:trHeight w:val="107"/>
        </w:trPr>
        <w:tc>
          <w:tcPr>
            <w:tcW w:w="1398" w:type="dxa"/>
            <w:shd w:val="clear" w:color="000000" w:fill="FFFFFF"/>
            <w:noWrap/>
            <w:vAlign w:val="bottom"/>
            <w:hideMark/>
          </w:tcPr>
          <w:p w14:paraId="290D4404" w14:textId="77777777" w:rsidR="00082679" w:rsidRPr="002D5934" w:rsidRDefault="00082679" w:rsidP="00082679">
            <w:pPr>
              <w:spacing w:line="336" w:lineRule="auto"/>
              <w:jc w:val="center"/>
              <w:rPr>
                <w:rFonts w:ascii="Calibri" w:eastAsia="Times New Roman" w:hAnsi="Calibri"/>
                <w:b/>
                <w:bCs/>
                <w:color w:val="000000"/>
                <w:sz w:val="22"/>
                <w:szCs w:val="22"/>
              </w:rPr>
            </w:pPr>
            <w:r w:rsidRPr="002D5934">
              <w:rPr>
                <w:rFonts w:ascii="Calibri" w:eastAsia="Times New Roman" w:hAnsi="Calibri"/>
                <w:b/>
                <w:bCs/>
                <w:color w:val="000000"/>
                <w:sz w:val="22"/>
                <w:szCs w:val="22"/>
              </w:rPr>
              <w:t>Public Relation</w:t>
            </w:r>
          </w:p>
        </w:tc>
        <w:tc>
          <w:tcPr>
            <w:tcW w:w="1516" w:type="dxa"/>
            <w:shd w:val="clear" w:color="000000" w:fill="FFFFFF"/>
            <w:noWrap/>
            <w:vAlign w:val="bottom"/>
            <w:hideMark/>
          </w:tcPr>
          <w:p w14:paraId="7CF71C80" w14:textId="77777777" w:rsidR="00082679" w:rsidRPr="002D5934" w:rsidRDefault="00082679" w:rsidP="00082679">
            <w:pPr>
              <w:jc w:val="center"/>
              <w:rPr>
                <w:rFonts w:ascii="Calibri" w:eastAsia="Times New Roman" w:hAnsi="Calibri"/>
                <w:color w:val="000000"/>
                <w:sz w:val="22"/>
                <w:szCs w:val="22"/>
              </w:rPr>
            </w:pPr>
            <w:r w:rsidRPr="002D5934">
              <w:rPr>
                <w:rFonts w:ascii="Calibri" w:eastAsia="Times New Roman" w:hAnsi="Calibri"/>
                <w:color w:val="000000"/>
                <w:sz w:val="22"/>
                <w:szCs w:val="22"/>
              </w:rPr>
              <w:t>Quality Mountain Safe Team</w:t>
            </w:r>
          </w:p>
        </w:tc>
      </w:tr>
      <w:tr w:rsidR="00082679" w:rsidRPr="002D5934" w14:paraId="4FDE3E93" w14:textId="77777777" w:rsidTr="00082679">
        <w:trPr>
          <w:trHeight w:val="107"/>
        </w:trPr>
        <w:tc>
          <w:tcPr>
            <w:tcW w:w="1398" w:type="dxa"/>
            <w:shd w:val="clear" w:color="000000" w:fill="FFFFFF"/>
            <w:noWrap/>
            <w:vAlign w:val="bottom"/>
            <w:hideMark/>
          </w:tcPr>
          <w:p w14:paraId="2C3E35A8" w14:textId="77777777" w:rsidR="00082679" w:rsidRPr="002D5934" w:rsidRDefault="00082679" w:rsidP="00082679">
            <w:pPr>
              <w:spacing w:line="336" w:lineRule="auto"/>
              <w:jc w:val="center"/>
              <w:rPr>
                <w:rFonts w:ascii="Calibri" w:eastAsia="Times New Roman" w:hAnsi="Calibri"/>
                <w:b/>
                <w:bCs/>
                <w:color w:val="000000"/>
                <w:sz w:val="22"/>
                <w:szCs w:val="22"/>
              </w:rPr>
            </w:pPr>
            <w:r w:rsidRPr="002D5934">
              <w:rPr>
                <w:rFonts w:ascii="Calibri" w:eastAsia="Times New Roman" w:hAnsi="Calibri"/>
                <w:b/>
                <w:bCs/>
                <w:color w:val="000000"/>
                <w:sz w:val="22"/>
                <w:szCs w:val="22"/>
              </w:rPr>
              <w:t>Interest Rate</w:t>
            </w:r>
          </w:p>
        </w:tc>
        <w:tc>
          <w:tcPr>
            <w:tcW w:w="1516" w:type="dxa"/>
            <w:shd w:val="clear" w:color="000000" w:fill="FFFFFF"/>
            <w:noWrap/>
            <w:vAlign w:val="bottom"/>
            <w:hideMark/>
          </w:tcPr>
          <w:p w14:paraId="699D3A9B" w14:textId="77777777" w:rsidR="00082679" w:rsidRPr="002D5934" w:rsidRDefault="00082679" w:rsidP="00082679">
            <w:pPr>
              <w:jc w:val="center"/>
              <w:rPr>
                <w:rFonts w:ascii="Calibri" w:eastAsia="Times New Roman" w:hAnsi="Calibri"/>
                <w:color w:val="000000"/>
                <w:sz w:val="22"/>
                <w:szCs w:val="22"/>
              </w:rPr>
            </w:pPr>
            <w:r w:rsidRPr="002D5934">
              <w:rPr>
                <w:rFonts w:ascii="Calibri" w:eastAsia="Times New Roman" w:hAnsi="Calibri"/>
                <w:color w:val="000000"/>
                <w:sz w:val="22"/>
                <w:szCs w:val="22"/>
              </w:rPr>
              <w:t>Use of interest rate swaps</w:t>
            </w:r>
          </w:p>
        </w:tc>
      </w:tr>
      <w:tr w:rsidR="00082679" w:rsidRPr="002D5934" w14:paraId="5FD1CC71" w14:textId="77777777" w:rsidTr="00082679">
        <w:trPr>
          <w:trHeight w:val="107"/>
        </w:trPr>
        <w:tc>
          <w:tcPr>
            <w:tcW w:w="1398" w:type="dxa"/>
            <w:shd w:val="clear" w:color="000000" w:fill="FFFFFF"/>
            <w:noWrap/>
            <w:vAlign w:val="bottom"/>
            <w:hideMark/>
          </w:tcPr>
          <w:p w14:paraId="1C136752" w14:textId="77777777" w:rsidR="00082679" w:rsidRPr="002D5934" w:rsidRDefault="00082679" w:rsidP="00082679">
            <w:pPr>
              <w:spacing w:line="600" w:lineRule="auto"/>
              <w:jc w:val="center"/>
              <w:rPr>
                <w:rFonts w:ascii="Calibri" w:eastAsia="Times New Roman" w:hAnsi="Calibri"/>
                <w:b/>
                <w:bCs/>
                <w:color w:val="000000"/>
                <w:sz w:val="22"/>
                <w:szCs w:val="22"/>
              </w:rPr>
            </w:pPr>
            <w:r w:rsidRPr="002D5934">
              <w:rPr>
                <w:rFonts w:ascii="Calibri" w:eastAsia="Times New Roman" w:hAnsi="Calibri"/>
                <w:b/>
                <w:bCs/>
                <w:color w:val="000000"/>
                <w:sz w:val="22"/>
                <w:szCs w:val="22"/>
              </w:rPr>
              <w:t>Seasonality</w:t>
            </w:r>
          </w:p>
        </w:tc>
        <w:tc>
          <w:tcPr>
            <w:tcW w:w="1516" w:type="dxa"/>
            <w:shd w:val="clear" w:color="000000" w:fill="FFFFFF"/>
            <w:noWrap/>
            <w:vAlign w:val="bottom"/>
            <w:hideMark/>
          </w:tcPr>
          <w:p w14:paraId="2F6F6711" w14:textId="77777777" w:rsidR="00082679" w:rsidRPr="002D5934" w:rsidRDefault="00082679" w:rsidP="00082679">
            <w:pPr>
              <w:jc w:val="center"/>
              <w:rPr>
                <w:rFonts w:ascii="Calibri" w:eastAsia="Times New Roman" w:hAnsi="Calibri"/>
                <w:color w:val="000000"/>
                <w:sz w:val="22"/>
                <w:szCs w:val="22"/>
              </w:rPr>
            </w:pPr>
            <w:r w:rsidRPr="002D5934">
              <w:rPr>
                <w:rFonts w:ascii="Calibri" w:eastAsia="Times New Roman" w:hAnsi="Calibri"/>
                <w:color w:val="000000"/>
                <w:sz w:val="22"/>
                <w:szCs w:val="22"/>
              </w:rPr>
              <w:t>Increasing Summer Revenue Stream</w:t>
            </w:r>
          </w:p>
        </w:tc>
      </w:tr>
      <w:tr w:rsidR="00082679" w:rsidRPr="002D5934" w14:paraId="4DAE544F" w14:textId="77777777" w:rsidTr="00082679">
        <w:trPr>
          <w:trHeight w:val="107"/>
        </w:trPr>
        <w:tc>
          <w:tcPr>
            <w:tcW w:w="1398" w:type="dxa"/>
            <w:shd w:val="clear" w:color="000000" w:fill="FFFFFF"/>
            <w:noWrap/>
            <w:vAlign w:val="bottom"/>
            <w:hideMark/>
          </w:tcPr>
          <w:p w14:paraId="0E9D0004" w14:textId="77777777" w:rsidR="00082679" w:rsidRPr="002D5934" w:rsidRDefault="00082679" w:rsidP="00082679">
            <w:pPr>
              <w:spacing w:line="480" w:lineRule="auto"/>
              <w:jc w:val="center"/>
              <w:rPr>
                <w:rFonts w:ascii="Calibri" w:eastAsia="Times New Roman" w:hAnsi="Calibri"/>
                <w:b/>
                <w:bCs/>
                <w:color w:val="000000"/>
                <w:sz w:val="22"/>
                <w:szCs w:val="22"/>
              </w:rPr>
            </w:pPr>
            <w:r w:rsidRPr="002D5934">
              <w:rPr>
                <w:rFonts w:ascii="Calibri" w:eastAsia="Times New Roman" w:hAnsi="Calibri"/>
                <w:b/>
                <w:bCs/>
                <w:color w:val="000000"/>
                <w:sz w:val="22"/>
                <w:szCs w:val="22"/>
              </w:rPr>
              <w:t>Workforce</w:t>
            </w:r>
          </w:p>
        </w:tc>
        <w:tc>
          <w:tcPr>
            <w:tcW w:w="1516" w:type="dxa"/>
            <w:shd w:val="clear" w:color="000000" w:fill="FFFFFF"/>
            <w:noWrap/>
            <w:vAlign w:val="bottom"/>
            <w:hideMark/>
          </w:tcPr>
          <w:p w14:paraId="381661AF" w14:textId="77777777" w:rsidR="00082679" w:rsidRPr="002D5934" w:rsidRDefault="00082679" w:rsidP="00082679">
            <w:pPr>
              <w:jc w:val="center"/>
              <w:rPr>
                <w:rFonts w:ascii="Calibri" w:eastAsia="Times New Roman" w:hAnsi="Calibri"/>
                <w:color w:val="000000"/>
                <w:sz w:val="22"/>
                <w:szCs w:val="22"/>
              </w:rPr>
            </w:pPr>
            <w:r w:rsidRPr="002D5934">
              <w:rPr>
                <w:rFonts w:ascii="Calibri" w:eastAsia="Times New Roman" w:hAnsi="Calibri"/>
                <w:color w:val="000000"/>
                <w:sz w:val="22"/>
                <w:szCs w:val="22"/>
              </w:rPr>
              <w:t>Increase Hiring Frequency</w:t>
            </w:r>
          </w:p>
        </w:tc>
      </w:tr>
      <w:tr w:rsidR="00082679" w:rsidRPr="002D5934" w14:paraId="7445E836" w14:textId="77777777" w:rsidTr="00082679">
        <w:trPr>
          <w:trHeight w:val="107"/>
        </w:trPr>
        <w:tc>
          <w:tcPr>
            <w:tcW w:w="1398" w:type="dxa"/>
            <w:shd w:val="clear" w:color="000000" w:fill="FFFFFF"/>
            <w:noWrap/>
            <w:vAlign w:val="bottom"/>
            <w:hideMark/>
          </w:tcPr>
          <w:p w14:paraId="33E53D75" w14:textId="77777777" w:rsidR="00082679" w:rsidRPr="002D5934" w:rsidRDefault="00082679" w:rsidP="00082679">
            <w:pPr>
              <w:spacing w:line="480" w:lineRule="auto"/>
              <w:jc w:val="center"/>
              <w:rPr>
                <w:rFonts w:ascii="Calibri" w:eastAsia="Times New Roman" w:hAnsi="Calibri"/>
                <w:b/>
                <w:bCs/>
                <w:color w:val="000000"/>
                <w:sz w:val="22"/>
                <w:szCs w:val="22"/>
              </w:rPr>
            </w:pPr>
            <w:r w:rsidRPr="002D5934">
              <w:rPr>
                <w:rFonts w:ascii="Calibri" w:eastAsia="Times New Roman" w:hAnsi="Calibri"/>
                <w:b/>
                <w:bCs/>
                <w:color w:val="000000"/>
                <w:sz w:val="22"/>
                <w:szCs w:val="22"/>
              </w:rPr>
              <w:t>Regulation</w:t>
            </w:r>
          </w:p>
        </w:tc>
        <w:tc>
          <w:tcPr>
            <w:tcW w:w="1516" w:type="dxa"/>
            <w:shd w:val="clear" w:color="000000" w:fill="FFFFFF"/>
            <w:noWrap/>
            <w:vAlign w:val="bottom"/>
            <w:hideMark/>
          </w:tcPr>
          <w:p w14:paraId="7C737469" w14:textId="77777777" w:rsidR="00082679" w:rsidRPr="002D5934" w:rsidRDefault="00082679" w:rsidP="00082679">
            <w:pPr>
              <w:jc w:val="center"/>
              <w:rPr>
                <w:rFonts w:ascii="Calibri" w:eastAsia="Times New Roman" w:hAnsi="Calibri"/>
                <w:color w:val="000000"/>
                <w:sz w:val="22"/>
                <w:szCs w:val="22"/>
              </w:rPr>
            </w:pPr>
            <w:r w:rsidRPr="002D5934">
              <w:rPr>
                <w:rFonts w:ascii="Calibri" w:eastAsia="Times New Roman" w:hAnsi="Calibri"/>
                <w:color w:val="000000"/>
                <w:sz w:val="22"/>
                <w:szCs w:val="22"/>
              </w:rPr>
              <w:t>Detailed Agreement, High Standard</w:t>
            </w:r>
          </w:p>
        </w:tc>
      </w:tr>
    </w:tbl>
    <w:p w14:paraId="066B9758" w14:textId="7FAFF240" w:rsidR="00656319" w:rsidRPr="00ED2414" w:rsidRDefault="00656319" w:rsidP="00656319">
      <w:pPr>
        <w:ind w:left="2160"/>
        <w:rPr>
          <w:rFonts w:ascii="Times New Roman" w:hAnsi="Times New Roman"/>
        </w:rPr>
      </w:pPr>
      <w:r w:rsidRPr="00ED2414">
        <w:rPr>
          <w:rFonts w:ascii="Times New Roman" w:hAnsi="Times New Roman"/>
        </w:rPr>
        <w:t xml:space="preserve">Whistler faces numerous risks when it comes to company image. If they fail to maintain the quality and safety of their runs in regards to signage, the risk of visitors getting lost, in an accident or in an avalanche will be severely impacted. When media catches wind of such detrimental events, stories will air quickly and Whistlers image shall be tarnished for the time being as visitors may get turned off as the perception of their safety may be in jeopardy.  </w:t>
      </w:r>
    </w:p>
    <w:p w14:paraId="6899C6FC" w14:textId="5DDCACE1" w:rsidR="00656319" w:rsidRPr="00ED2414" w:rsidRDefault="00656319" w:rsidP="00656319">
      <w:pPr>
        <w:ind w:left="2160"/>
        <w:rPr>
          <w:rFonts w:ascii="Times New Roman" w:hAnsi="Times New Roman"/>
          <w:b/>
        </w:rPr>
      </w:pPr>
    </w:p>
    <w:p w14:paraId="6E739E57" w14:textId="43C8EEB4" w:rsidR="00656319" w:rsidRPr="00ED2414" w:rsidRDefault="00656319" w:rsidP="00656319">
      <w:pPr>
        <w:ind w:left="2160"/>
        <w:rPr>
          <w:rFonts w:ascii="Times New Roman" w:hAnsi="Times New Roman"/>
          <w:b/>
        </w:rPr>
      </w:pPr>
      <w:r w:rsidRPr="00ED2414">
        <w:rPr>
          <w:rFonts w:ascii="Times New Roman" w:hAnsi="Times New Roman"/>
          <w:b/>
        </w:rPr>
        <w:t>Curre</w:t>
      </w:r>
      <w:r w:rsidR="005C48AD">
        <w:rPr>
          <w:rFonts w:ascii="Times New Roman" w:hAnsi="Times New Roman"/>
          <w:b/>
        </w:rPr>
        <w:t>ncy Risk / Consumer Demand</w:t>
      </w:r>
    </w:p>
    <w:p w14:paraId="38D3DAEF" w14:textId="443BA533" w:rsidR="002D5934" w:rsidRPr="00ED2414" w:rsidRDefault="00656319" w:rsidP="00656319">
      <w:pPr>
        <w:ind w:left="2160"/>
        <w:rPr>
          <w:rFonts w:ascii="Times New Roman" w:hAnsi="Times New Roman"/>
        </w:rPr>
      </w:pPr>
      <w:r w:rsidRPr="00ED2414">
        <w:rPr>
          <w:rFonts w:ascii="Times New Roman" w:hAnsi="Times New Roman"/>
        </w:rPr>
        <w:t>Consumer demand risk has a moderate impact as a significant market downturn abroad will cause declining annual skier visits causing a greater reliance on regional demand due to a decrease in international buying power. There is quite a big risk of volatile fluctuations in currency as the low Canadian dollar encourages more international visitors as Whistler becomes a much more inexpensive option. They are also susceptible to being affected by vari</w:t>
      </w:r>
      <w:r w:rsidR="00082679">
        <w:rPr>
          <w:rFonts w:ascii="Times New Roman" w:hAnsi="Times New Roman"/>
        </w:rPr>
        <w:t>ations in airline ticket price</w:t>
      </w:r>
    </w:p>
    <w:p w14:paraId="648E65EA" w14:textId="50005BF0" w:rsidR="00656319" w:rsidRPr="00ED2414" w:rsidRDefault="00656319" w:rsidP="00656319">
      <w:pPr>
        <w:ind w:left="2160"/>
        <w:rPr>
          <w:rFonts w:ascii="Times New Roman" w:hAnsi="Times New Roman"/>
        </w:rPr>
      </w:pPr>
      <w:r w:rsidRPr="00ED2414">
        <w:rPr>
          <w:rFonts w:ascii="Times New Roman" w:hAnsi="Times New Roman"/>
        </w:rPr>
        <w:t>abroad which can potentially decline WB’s international visitation potential. The ability to continue paying dividends is also a risk that investors are surely going to take into account.</w:t>
      </w:r>
    </w:p>
    <w:p w14:paraId="45E8BB04" w14:textId="380B25BD" w:rsidR="00656319" w:rsidRPr="00ED2414" w:rsidRDefault="00656319" w:rsidP="00656319">
      <w:pPr>
        <w:ind w:left="2160"/>
        <w:rPr>
          <w:rFonts w:ascii="Times New Roman" w:hAnsi="Times New Roman"/>
          <w:b/>
        </w:rPr>
      </w:pPr>
    </w:p>
    <w:p w14:paraId="0C5B6FB5" w14:textId="7D56ACD0" w:rsidR="00656319" w:rsidRPr="00ED2414" w:rsidRDefault="00656319" w:rsidP="00656319">
      <w:pPr>
        <w:ind w:left="2160"/>
        <w:rPr>
          <w:rFonts w:ascii="Times New Roman" w:hAnsi="Times New Roman"/>
          <w:b/>
        </w:rPr>
      </w:pPr>
      <w:r w:rsidRPr="00ED2414">
        <w:rPr>
          <w:rFonts w:ascii="Times New Roman" w:hAnsi="Times New Roman"/>
          <w:b/>
        </w:rPr>
        <w:t>Credit Facil</w:t>
      </w:r>
      <w:r w:rsidR="005C48AD">
        <w:rPr>
          <w:rFonts w:ascii="Times New Roman" w:hAnsi="Times New Roman"/>
          <w:b/>
        </w:rPr>
        <w:t>ity and Interest Rate risk</w:t>
      </w:r>
    </w:p>
    <w:p w14:paraId="2AD931C5" w14:textId="7E184DD7" w:rsidR="00656319" w:rsidRPr="00ED2414" w:rsidRDefault="00656319" w:rsidP="00656319">
      <w:pPr>
        <w:ind w:left="2160"/>
        <w:rPr>
          <w:rFonts w:ascii="Times New Roman" w:hAnsi="Times New Roman"/>
          <w:b/>
        </w:rPr>
      </w:pPr>
      <w:r w:rsidRPr="00ED2414">
        <w:rPr>
          <w:rFonts w:ascii="Times New Roman" w:hAnsi="Times New Roman"/>
        </w:rPr>
        <w:t>This restricts ability of entities forming part of WB’s group to incur or guarantee additional indebtedness, pay dividends, make other distributions, restricted payments and make loans. Recently on Sept. 30</w:t>
      </w:r>
      <w:r w:rsidRPr="00ED2414">
        <w:rPr>
          <w:rFonts w:ascii="Times New Roman" w:hAnsi="Times New Roman"/>
          <w:vertAlign w:val="superscript"/>
        </w:rPr>
        <w:t>th</w:t>
      </w:r>
      <w:r w:rsidRPr="00ED2414">
        <w:rPr>
          <w:rFonts w:ascii="Times New Roman" w:hAnsi="Times New Roman"/>
        </w:rPr>
        <w:t xml:space="preserve"> 2015, the underlying floating interest rate on approximately. 53% of the company’s debt outstanding was effectively fixed for the term of their $125 million interest rate swap with a Canadian Bank. </w:t>
      </w:r>
    </w:p>
    <w:p w14:paraId="69572330" w14:textId="77777777" w:rsidR="00656319" w:rsidRPr="00ED2414" w:rsidRDefault="00656319" w:rsidP="00656319">
      <w:pPr>
        <w:ind w:left="2160"/>
        <w:rPr>
          <w:rFonts w:ascii="Times New Roman" w:hAnsi="Times New Roman"/>
          <w:b/>
        </w:rPr>
      </w:pPr>
    </w:p>
    <w:p w14:paraId="4EEDD35C" w14:textId="4BC1D612" w:rsidR="00656319" w:rsidRPr="00ED2414" w:rsidRDefault="00656319" w:rsidP="00656319">
      <w:pPr>
        <w:ind w:left="2160"/>
        <w:rPr>
          <w:rFonts w:ascii="Times New Roman" w:hAnsi="Times New Roman"/>
          <w:b/>
        </w:rPr>
      </w:pPr>
      <w:r w:rsidRPr="00ED2414">
        <w:rPr>
          <w:rFonts w:ascii="Times New Roman" w:hAnsi="Times New Roman"/>
          <w:b/>
        </w:rPr>
        <w:t>Seas</w:t>
      </w:r>
      <w:r w:rsidR="005C48AD">
        <w:rPr>
          <w:rFonts w:ascii="Times New Roman" w:hAnsi="Times New Roman"/>
          <w:b/>
        </w:rPr>
        <w:t>onality of Operations Risk</w:t>
      </w:r>
    </w:p>
    <w:p w14:paraId="39D08198" w14:textId="6A4230BF" w:rsidR="008E46F3" w:rsidRPr="004431E3" w:rsidRDefault="00656319" w:rsidP="004431E3">
      <w:pPr>
        <w:ind w:left="2160"/>
        <w:rPr>
          <w:rFonts w:ascii="Times New Roman" w:hAnsi="Times New Roman"/>
        </w:rPr>
      </w:pPr>
      <w:r w:rsidRPr="00ED2414">
        <w:rPr>
          <w:rFonts w:ascii="Times New Roman" w:hAnsi="Times New Roman"/>
        </w:rPr>
        <w:t>It plays a large factor as 85% of their core revenue source comes during the winter months, primarily attributable to sales of lift tickets and passes, purchased by skiers and boarders. The risk of operational inefficiencies occurring during peak revenue times would prove to be detrimental for the overall net income as well as reputation. If a poor year of snowfall occurs, Whistler’s dynamic of international to regional visitors would be impacted and they would have to heavily rely on their summer operations to make up for lost revenues causing a constraint on the utility of resources and inefficiency of summer operations.</w:t>
      </w:r>
    </w:p>
    <w:p w14:paraId="0515ED39" w14:textId="56275F69" w:rsidR="00656319" w:rsidRPr="00ED2414" w:rsidRDefault="005C48AD" w:rsidP="00082679">
      <w:pPr>
        <w:ind w:left="2160"/>
        <w:rPr>
          <w:rFonts w:ascii="Times New Roman" w:hAnsi="Times New Roman"/>
          <w:b/>
        </w:rPr>
      </w:pPr>
      <w:r>
        <w:rPr>
          <w:rFonts w:ascii="Times New Roman" w:hAnsi="Times New Roman"/>
          <w:b/>
        </w:rPr>
        <w:lastRenderedPageBreak/>
        <w:t>Seasonal Workforce Risk</w:t>
      </w:r>
    </w:p>
    <w:p w14:paraId="353A4BCB" w14:textId="035AE639" w:rsidR="00656319" w:rsidRPr="00ED2414" w:rsidRDefault="00656319" w:rsidP="00656319">
      <w:pPr>
        <w:ind w:left="2160"/>
        <w:rPr>
          <w:rFonts w:ascii="Times New Roman" w:hAnsi="Times New Roman"/>
        </w:rPr>
      </w:pPr>
      <w:r w:rsidRPr="00ED2414">
        <w:rPr>
          <w:rFonts w:ascii="Times New Roman" w:hAnsi="Times New Roman"/>
        </w:rPr>
        <w:t xml:space="preserve">They depend on a seasonal workforce and as demand fluctuates, where too many or few employees are hired during peak times in the season. As many employees are hired from abroad, it is in Whistlers best interest to maintain specific accommodation for them as to not impose on current hotels and residential areas. </w:t>
      </w:r>
    </w:p>
    <w:p w14:paraId="187A8B68" w14:textId="5CC14B6A" w:rsidR="00656319" w:rsidRPr="00ED2414" w:rsidRDefault="00656319" w:rsidP="00656319">
      <w:pPr>
        <w:ind w:left="2160"/>
        <w:rPr>
          <w:rFonts w:ascii="Times New Roman" w:hAnsi="Times New Roman"/>
          <w:b/>
        </w:rPr>
      </w:pPr>
    </w:p>
    <w:p w14:paraId="3042D466" w14:textId="6DB47D25" w:rsidR="00656319" w:rsidRPr="00ED2414" w:rsidRDefault="00656319" w:rsidP="00656319">
      <w:pPr>
        <w:ind w:left="2160"/>
        <w:rPr>
          <w:rFonts w:ascii="Times New Roman" w:hAnsi="Times New Roman"/>
          <w:b/>
        </w:rPr>
      </w:pPr>
      <w:r w:rsidRPr="00ED2414">
        <w:rPr>
          <w:rFonts w:ascii="Times New Roman" w:hAnsi="Times New Roman"/>
          <w:b/>
        </w:rPr>
        <w:t>Env</w:t>
      </w:r>
      <w:r w:rsidR="005C48AD">
        <w:rPr>
          <w:rFonts w:ascii="Times New Roman" w:hAnsi="Times New Roman"/>
          <w:b/>
        </w:rPr>
        <w:t>ironmental Regulation Risk</w:t>
      </w:r>
    </w:p>
    <w:p w14:paraId="0EDB08B3" w14:textId="09AFF4D9" w:rsidR="00656319" w:rsidRPr="00ED2414" w:rsidRDefault="00656319" w:rsidP="00656319">
      <w:pPr>
        <w:ind w:left="2160"/>
        <w:rPr>
          <w:rFonts w:ascii="Times New Roman" w:hAnsi="Times New Roman"/>
        </w:rPr>
      </w:pPr>
      <w:r w:rsidRPr="00ED2414">
        <w:rPr>
          <w:rFonts w:ascii="Times New Roman" w:hAnsi="Times New Roman"/>
        </w:rPr>
        <w:t xml:space="preserve">This risk is a pivotal factor as it considers the stringent restrictions on water consumption which can be excessive due to snowmaking which Whistler would need to monitor. Keeping track of waste is also important for Whistler’s image as they seek to minimize their carbon footprint which can be costly. Failure to do so may tarnish their perception in global markets. In terms of expansion of the mountain and village facilities, agreements of approval need to be made with the first nations before any project is taken on. </w:t>
      </w:r>
    </w:p>
    <w:p w14:paraId="03E984FC" w14:textId="77777777" w:rsidR="00656319" w:rsidRPr="00ED2414" w:rsidRDefault="00656319" w:rsidP="00656319">
      <w:pPr>
        <w:pStyle w:val="ListParagraph"/>
        <w:spacing w:after="0" w:line="240" w:lineRule="auto"/>
        <w:ind w:left="2160"/>
        <w:rPr>
          <w:rFonts w:ascii="Times New Roman" w:hAnsi="Times New Roman" w:cs="Times New Roman"/>
          <w:sz w:val="20"/>
          <w:szCs w:val="20"/>
        </w:rPr>
      </w:pPr>
    </w:p>
    <w:p w14:paraId="309F75BD" w14:textId="756662C1" w:rsidR="00656319" w:rsidRPr="00ED2414" w:rsidRDefault="00656319" w:rsidP="00656319">
      <w:pPr>
        <w:pStyle w:val="Header"/>
        <w:tabs>
          <w:tab w:val="clear" w:pos="4320"/>
          <w:tab w:val="clear" w:pos="8640"/>
        </w:tabs>
        <w:spacing w:after="60"/>
        <w:jc w:val="both"/>
        <w:rPr>
          <w:rFonts w:ascii="Times New Roman" w:hAnsi="Times New Roman"/>
          <w:sz w:val="20"/>
        </w:rPr>
      </w:pPr>
    </w:p>
    <w:p w14:paraId="7074A45B" w14:textId="77777777" w:rsidR="00656319" w:rsidRPr="00ED2414" w:rsidRDefault="00656319" w:rsidP="00656319">
      <w:pPr>
        <w:pStyle w:val="Header"/>
        <w:tabs>
          <w:tab w:val="clear" w:pos="4320"/>
          <w:tab w:val="clear" w:pos="8640"/>
        </w:tabs>
        <w:spacing w:after="60"/>
        <w:ind w:left="360" w:hanging="360"/>
        <w:jc w:val="both"/>
        <w:rPr>
          <w:rFonts w:ascii="Times New Roman" w:hAnsi="Times New Roman"/>
          <w:sz w:val="20"/>
        </w:rPr>
      </w:pPr>
    </w:p>
    <w:p w14:paraId="45D228F3" w14:textId="77777777" w:rsidR="00656319" w:rsidRDefault="00656319" w:rsidP="00656319">
      <w:pPr>
        <w:pStyle w:val="Header"/>
        <w:tabs>
          <w:tab w:val="clear" w:pos="4320"/>
          <w:tab w:val="clear" w:pos="8640"/>
        </w:tabs>
        <w:spacing w:after="60"/>
        <w:ind w:left="360" w:hanging="360"/>
        <w:jc w:val="both"/>
        <w:rPr>
          <w:rFonts w:ascii="Times New Roman" w:hAnsi="Times New Roman"/>
          <w:sz w:val="20"/>
        </w:rPr>
      </w:pPr>
    </w:p>
    <w:p w14:paraId="11891DF6" w14:textId="77777777" w:rsidR="001E207D" w:rsidRDefault="001E207D" w:rsidP="00656319">
      <w:pPr>
        <w:pStyle w:val="Header"/>
        <w:tabs>
          <w:tab w:val="clear" w:pos="4320"/>
          <w:tab w:val="clear" w:pos="8640"/>
        </w:tabs>
        <w:spacing w:after="60"/>
        <w:ind w:left="360" w:hanging="360"/>
        <w:jc w:val="both"/>
        <w:rPr>
          <w:rFonts w:ascii="Times New Roman" w:hAnsi="Times New Roman"/>
          <w:sz w:val="20"/>
        </w:rPr>
      </w:pPr>
    </w:p>
    <w:p w14:paraId="544F338B" w14:textId="77777777" w:rsidR="001E207D" w:rsidRDefault="001E207D" w:rsidP="00656319">
      <w:pPr>
        <w:pStyle w:val="Header"/>
        <w:tabs>
          <w:tab w:val="clear" w:pos="4320"/>
          <w:tab w:val="clear" w:pos="8640"/>
        </w:tabs>
        <w:spacing w:after="60"/>
        <w:ind w:left="360" w:hanging="360"/>
        <w:jc w:val="both"/>
        <w:rPr>
          <w:rFonts w:ascii="Times New Roman" w:hAnsi="Times New Roman"/>
          <w:sz w:val="20"/>
        </w:rPr>
      </w:pPr>
    </w:p>
    <w:p w14:paraId="7D7938C7" w14:textId="77777777" w:rsidR="001E207D" w:rsidRDefault="001E207D" w:rsidP="00656319">
      <w:pPr>
        <w:pStyle w:val="Header"/>
        <w:tabs>
          <w:tab w:val="clear" w:pos="4320"/>
          <w:tab w:val="clear" w:pos="8640"/>
        </w:tabs>
        <w:spacing w:after="60"/>
        <w:ind w:left="360" w:hanging="360"/>
        <w:jc w:val="both"/>
        <w:rPr>
          <w:rFonts w:ascii="Times New Roman" w:hAnsi="Times New Roman"/>
          <w:sz w:val="20"/>
        </w:rPr>
      </w:pPr>
    </w:p>
    <w:p w14:paraId="2E842FF7" w14:textId="77777777" w:rsidR="001E207D" w:rsidRDefault="001E207D" w:rsidP="00656319">
      <w:pPr>
        <w:pStyle w:val="Header"/>
        <w:tabs>
          <w:tab w:val="clear" w:pos="4320"/>
          <w:tab w:val="clear" w:pos="8640"/>
        </w:tabs>
        <w:spacing w:after="60"/>
        <w:ind w:left="360" w:hanging="360"/>
        <w:jc w:val="both"/>
        <w:rPr>
          <w:rFonts w:ascii="Times New Roman" w:hAnsi="Times New Roman"/>
          <w:sz w:val="20"/>
        </w:rPr>
      </w:pPr>
    </w:p>
    <w:p w14:paraId="2030F25F" w14:textId="77777777" w:rsidR="001E207D" w:rsidRDefault="001E207D" w:rsidP="00656319">
      <w:pPr>
        <w:pStyle w:val="Header"/>
        <w:tabs>
          <w:tab w:val="clear" w:pos="4320"/>
          <w:tab w:val="clear" w:pos="8640"/>
        </w:tabs>
        <w:spacing w:after="60"/>
        <w:ind w:left="360" w:hanging="360"/>
        <w:jc w:val="both"/>
        <w:rPr>
          <w:rFonts w:ascii="Times New Roman" w:hAnsi="Times New Roman"/>
          <w:sz w:val="20"/>
        </w:rPr>
      </w:pPr>
    </w:p>
    <w:p w14:paraId="10CEDF9C" w14:textId="77777777" w:rsidR="001E207D" w:rsidRDefault="001E207D" w:rsidP="00656319">
      <w:pPr>
        <w:pStyle w:val="Header"/>
        <w:tabs>
          <w:tab w:val="clear" w:pos="4320"/>
          <w:tab w:val="clear" w:pos="8640"/>
        </w:tabs>
        <w:spacing w:after="60"/>
        <w:ind w:left="360" w:hanging="360"/>
        <w:jc w:val="both"/>
        <w:rPr>
          <w:rFonts w:ascii="Times New Roman" w:hAnsi="Times New Roman"/>
          <w:sz w:val="20"/>
        </w:rPr>
      </w:pPr>
    </w:p>
    <w:p w14:paraId="6B6526E1" w14:textId="77777777" w:rsidR="001E207D" w:rsidRDefault="001E207D" w:rsidP="00656319">
      <w:pPr>
        <w:pStyle w:val="Header"/>
        <w:tabs>
          <w:tab w:val="clear" w:pos="4320"/>
          <w:tab w:val="clear" w:pos="8640"/>
        </w:tabs>
        <w:spacing w:after="60"/>
        <w:ind w:left="360" w:hanging="360"/>
        <w:jc w:val="both"/>
        <w:rPr>
          <w:rFonts w:ascii="Times New Roman" w:hAnsi="Times New Roman"/>
          <w:sz w:val="20"/>
        </w:rPr>
      </w:pPr>
    </w:p>
    <w:p w14:paraId="22918352" w14:textId="77777777" w:rsidR="001E207D" w:rsidRPr="00ED2414" w:rsidRDefault="001E207D" w:rsidP="00656319">
      <w:pPr>
        <w:pStyle w:val="Header"/>
        <w:tabs>
          <w:tab w:val="clear" w:pos="4320"/>
          <w:tab w:val="clear" w:pos="8640"/>
        </w:tabs>
        <w:spacing w:after="60"/>
        <w:ind w:left="360" w:hanging="360"/>
        <w:jc w:val="both"/>
        <w:rPr>
          <w:rFonts w:ascii="Times New Roman" w:hAnsi="Times New Roman"/>
          <w:sz w:val="20"/>
        </w:rPr>
      </w:pPr>
    </w:p>
    <w:p w14:paraId="2A79CFB7" w14:textId="77777777" w:rsidR="00656319" w:rsidRPr="00ED2414" w:rsidRDefault="00656319" w:rsidP="00656319">
      <w:pPr>
        <w:pStyle w:val="Header"/>
        <w:tabs>
          <w:tab w:val="clear" w:pos="4320"/>
          <w:tab w:val="clear" w:pos="8640"/>
        </w:tabs>
        <w:spacing w:after="60"/>
        <w:ind w:left="360" w:hanging="360"/>
        <w:jc w:val="both"/>
        <w:rPr>
          <w:rFonts w:ascii="Times New Roman" w:hAnsi="Times New Roman"/>
          <w:sz w:val="20"/>
        </w:rPr>
      </w:pPr>
    </w:p>
    <w:p w14:paraId="1E22665D" w14:textId="77777777" w:rsidR="00656319" w:rsidRPr="00ED2414" w:rsidRDefault="00656319" w:rsidP="00656319">
      <w:pPr>
        <w:pStyle w:val="Header"/>
        <w:tabs>
          <w:tab w:val="clear" w:pos="4320"/>
          <w:tab w:val="clear" w:pos="8640"/>
        </w:tabs>
        <w:spacing w:after="60"/>
        <w:ind w:left="360" w:hanging="360"/>
        <w:jc w:val="both"/>
        <w:rPr>
          <w:rFonts w:ascii="Times New Roman" w:hAnsi="Times New Roman"/>
          <w:sz w:val="20"/>
        </w:rPr>
      </w:pPr>
    </w:p>
    <w:p w14:paraId="28BDD12F" w14:textId="77777777" w:rsidR="00656319" w:rsidRPr="00ED2414" w:rsidRDefault="00656319" w:rsidP="00656319">
      <w:pPr>
        <w:pStyle w:val="Header"/>
        <w:tabs>
          <w:tab w:val="clear" w:pos="4320"/>
          <w:tab w:val="clear" w:pos="8640"/>
        </w:tabs>
        <w:spacing w:after="60"/>
        <w:ind w:left="360" w:hanging="360"/>
        <w:jc w:val="both"/>
        <w:rPr>
          <w:rFonts w:ascii="Times New Roman" w:hAnsi="Times New Roman"/>
          <w:sz w:val="20"/>
        </w:rPr>
      </w:pPr>
    </w:p>
    <w:p w14:paraId="700ADC2C" w14:textId="77777777" w:rsidR="00656319" w:rsidRPr="00ED2414" w:rsidRDefault="00656319" w:rsidP="00656319">
      <w:pPr>
        <w:pStyle w:val="Header"/>
        <w:tabs>
          <w:tab w:val="clear" w:pos="4320"/>
          <w:tab w:val="clear" w:pos="8640"/>
        </w:tabs>
        <w:spacing w:after="60"/>
        <w:ind w:left="360" w:hanging="360"/>
        <w:jc w:val="both"/>
        <w:rPr>
          <w:rFonts w:ascii="Times New Roman" w:hAnsi="Times New Roman"/>
          <w:sz w:val="20"/>
        </w:rPr>
      </w:pPr>
    </w:p>
    <w:p w14:paraId="1C741913" w14:textId="0AB0DC42" w:rsidR="00656319" w:rsidRDefault="00656319" w:rsidP="00656319">
      <w:pPr>
        <w:pStyle w:val="Header"/>
        <w:tabs>
          <w:tab w:val="clear" w:pos="4320"/>
          <w:tab w:val="clear" w:pos="8640"/>
        </w:tabs>
        <w:spacing w:after="60"/>
        <w:ind w:left="360" w:hanging="360"/>
        <w:jc w:val="both"/>
        <w:rPr>
          <w:rFonts w:ascii="Times New Roman" w:hAnsi="Times New Roman"/>
          <w:sz w:val="20"/>
        </w:rPr>
      </w:pPr>
    </w:p>
    <w:p w14:paraId="0950C90C"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7B3D8B47"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03150C4C"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5985697E"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6E2CF538"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4DC84C25"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181E0960"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535A6ADC"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4EC26299"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124D57E9"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3C322E55"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6C283E8E"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5EF4B8F5"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6D687414"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5B3A24BE" w14:textId="77777777" w:rsidR="004855CB" w:rsidRDefault="004855CB" w:rsidP="00656319">
      <w:pPr>
        <w:pStyle w:val="Header"/>
        <w:tabs>
          <w:tab w:val="clear" w:pos="4320"/>
          <w:tab w:val="clear" w:pos="8640"/>
        </w:tabs>
        <w:spacing w:after="60"/>
        <w:ind w:left="360" w:hanging="360"/>
        <w:jc w:val="both"/>
        <w:rPr>
          <w:rFonts w:ascii="Times New Roman" w:hAnsi="Times New Roman"/>
          <w:sz w:val="20"/>
        </w:rPr>
      </w:pPr>
    </w:p>
    <w:p w14:paraId="3B86E894" w14:textId="0E835817" w:rsidR="007A6E22" w:rsidRDefault="007A6E22" w:rsidP="00656319">
      <w:pPr>
        <w:pStyle w:val="Header"/>
        <w:tabs>
          <w:tab w:val="clear" w:pos="4320"/>
          <w:tab w:val="clear" w:pos="8640"/>
        </w:tabs>
        <w:spacing w:after="60"/>
        <w:jc w:val="both"/>
        <w:rPr>
          <w:rFonts w:ascii="Times New Roman" w:hAnsi="Times New Roman"/>
          <w:sz w:val="20"/>
        </w:rPr>
      </w:pPr>
    </w:p>
    <w:p w14:paraId="0854F7D7" w14:textId="77777777" w:rsidR="004431E3" w:rsidRDefault="004431E3" w:rsidP="00656319">
      <w:pPr>
        <w:pStyle w:val="Header"/>
        <w:tabs>
          <w:tab w:val="clear" w:pos="4320"/>
          <w:tab w:val="clear" w:pos="8640"/>
        </w:tabs>
        <w:spacing w:after="60"/>
        <w:jc w:val="both"/>
        <w:rPr>
          <w:rFonts w:ascii="Times New Roman" w:hAnsi="Times New Roman"/>
          <w:sz w:val="20"/>
        </w:rPr>
      </w:pPr>
    </w:p>
    <w:p w14:paraId="3EB4AE86" w14:textId="77777777" w:rsidR="004431E3" w:rsidRPr="00ED2414" w:rsidRDefault="004431E3" w:rsidP="00656319">
      <w:pPr>
        <w:pStyle w:val="Header"/>
        <w:tabs>
          <w:tab w:val="clear" w:pos="4320"/>
          <w:tab w:val="clear" w:pos="8640"/>
        </w:tabs>
        <w:spacing w:after="60"/>
        <w:jc w:val="both"/>
        <w:rPr>
          <w:rFonts w:ascii="Times New Roman" w:hAnsi="Times New Roman"/>
          <w:sz w:val="20"/>
        </w:rPr>
      </w:pPr>
    </w:p>
    <w:p w14:paraId="1E357E2B" w14:textId="0163EBDA" w:rsidR="00656319" w:rsidRPr="00ED2414" w:rsidRDefault="00656319" w:rsidP="00656319">
      <w:pPr>
        <w:pStyle w:val="Header"/>
        <w:tabs>
          <w:tab w:val="clear" w:pos="4320"/>
          <w:tab w:val="clear" w:pos="8640"/>
        </w:tabs>
        <w:spacing w:after="60"/>
        <w:jc w:val="both"/>
        <w:rPr>
          <w:rFonts w:ascii="Times New Roman" w:hAnsi="Times New Roman"/>
          <w:sz w:val="20"/>
        </w:rPr>
      </w:pPr>
      <w:r w:rsidRPr="00ED2414">
        <w:rPr>
          <w:rFonts w:ascii="Times New Roman" w:hAnsi="Times New Roman"/>
          <w:sz w:val="20"/>
        </w:rPr>
        <w:lastRenderedPageBreak/>
        <w:t>Disclosures:</w:t>
      </w:r>
    </w:p>
    <w:p w14:paraId="0535FB96" w14:textId="5C07DE3E" w:rsidR="00656319" w:rsidRPr="00ED2414" w:rsidRDefault="00656319" w:rsidP="00656319">
      <w:pPr>
        <w:pBdr>
          <w:top w:val="single" w:sz="4" w:space="1" w:color="auto"/>
        </w:pBdr>
        <w:jc w:val="both"/>
        <w:rPr>
          <w:rFonts w:ascii="Times New Roman" w:hAnsi="Times New Roman"/>
          <w:b/>
          <w:bCs/>
        </w:rPr>
      </w:pPr>
      <w:r w:rsidRPr="00ED2414">
        <w:rPr>
          <w:rFonts w:ascii="Times New Roman" w:hAnsi="Times New Roman"/>
          <w:b/>
          <w:bCs/>
        </w:rPr>
        <w:t>Ownership and material conflicts of interest:</w:t>
      </w:r>
    </w:p>
    <w:p w14:paraId="0301534E" w14:textId="12DA410B" w:rsidR="00656319" w:rsidRPr="00ED2414" w:rsidRDefault="00656319" w:rsidP="00656319">
      <w:pPr>
        <w:jc w:val="both"/>
        <w:rPr>
          <w:rFonts w:ascii="Times New Roman" w:hAnsi="Times New Roman"/>
        </w:rPr>
      </w:pPr>
      <w:r w:rsidRPr="00ED2414">
        <w:rPr>
          <w:rFonts w:ascii="Times New Roman" w:hAnsi="Times New Roman"/>
        </w:rPr>
        <w:t xml:space="preserve">The author(s), or a member of their household, of this report [holds/does not hold] a financial interest in the securities of this company.  </w:t>
      </w:r>
    </w:p>
    <w:p w14:paraId="64E59872" w14:textId="3EA3419C" w:rsidR="00656319" w:rsidRPr="00ED2414" w:rsidRDefault="00656319" w:rsidP="00656319">
      <w:pPr>
        <w:jc w:val="both"/>
        <w:rPr>
          <w:rFonts w:ascii="Times New Roman" w:hAnsi="Times New Roman"/>
        </w:rPr>
      </w:pPr>
      <w:r w:rsidRPr="00ED2414">
        <w:rPr>
          <w:rFonts w:ascii="Times New Roman" w:hAnsi="Times New Roman"/>
        </w:rPr>
        <w:t>The author(s), or a member of their household, of this report [knows/does not know] of the existence of any conflicts of interest that might bias the content or publication of this report.  [The conflict of interest is…]</w:t>
      </w:r>
    </w:p>
    <w:p w14:paraId="571647B3" w14:textId="1CC040DE" w:rsidR="00656319" w:rsidRPr="00ED2414" w:rsidRDefault="00656319" w:rsidP="00656319">
      <w:pPr>
        <w:jc w:val="both"/>
        <w:rPr>
          <w:rFonts w:ascii="Times New Roman" w:hAnsi="Times New Roman"/>
          <w:b/>
          <w:bCs/>
        </w:rPr>
      </w:pPr>
      <w:r w:rsidRPr="00ED2414">
        <w:rPr>
          <w:rFonts w:ascii="Times New Roman" w:hAnsi="Times New Roman"/>
          <w:b/>
          <w:bCs/>
        </w:rPr>
        <w:t>Receipt of compensation:</w:t>
      </w:r>
    </w:p>
    <w:p w14:paraId="0CC9794B" w14:textId="2B6F72E0" w:rsidR="00656319" w:rsidRPr="00ED2414" w:rsidRDefault="00656319" w:rsidP="00656319">
      <w:pPr>
        <w:jc w:val="both"/>
        <w:rPr>
          <w:rFonts w:ascii="Times New Roman" w:hAnsi="Times New Roman"/>
        </w:rPr>
      </w:pPr>
      <w:r w:rsidRPr="00ED2414">
        <w:rPr>
          <w:rFonts w:ascii="Times New Roman" w:hAnsi="Times New Roman"/>
        </w:rPr>
        <w:t>Compensation of the author(s) of this report is not based on investment banking revenue.</w:t>
      </w:r>
    </w:p>
    <w:p w14:paraId="283EEEDD" w14:textId="281A4C2E" w:rsidR="00656319" w:rsidRPr="00ED2414" w:rsidRDefault="00656319" w:rsidP="00656319">
      <w:pPr>
        <w:jc w:val="both"/>
        <w:rPr>
          <w:rFonts w:ascii="Times New Roman" w:hAnsi="Times New Roman"/>
          <w:b/>
          <w:bCs/>
        </w:rPr>
      </w:pPr>
      <w:r w:rsidRPr="00ED2414">
        <w:rPr>
          <w:rFonts w:ascii="Times New Roman" w:hAnsi="Times New Roman"/>
          <w:b/>
          <w:bCs/>
        </w:rPr>
        <w:t xml:space="preserve">Position as </w:t>
      </w:r>
      <w:r w:rsidR="006271B4" w:rsidRPr="00ED2414">
        <w:rPr>
          <w:rFonts w:ascii="Times New Roman" w:hAnsi="Times New Roman"/>
          <w:b/>
          <w:bCs/>
        </w:rPr>
        <w:t>an</w:t>
      </w:r>
      <w:r w:rsidRPr="00ED2414">
        <w:rPr>
          <w:rFonts w:ascii="Times New Roman" w:hAnsi="Times New Roman"/>
          <w:b/>
          <w:bCs/>
        </w:rPr>
        <w:t xml:space="preserve"> officer or director:</w:t>
      </w:r>
    </w:p>
    <w:p w14:paraId="115E6C1B" w14:textId="77777777" w:rsidR="00656319" w:rsidRPr="00ED2414" w:rsidRDefault="00656319" w:rsidP="00656319">
      <w:pPr>
        <w:jc w:val="both"/>
        <w:rPr>
          <w:rFonts w:ascii="Times New Roman" w:hAnsi="Times New Roman"/>
        </w:rPr>
      </w:pPr>
      <w:r w:rsidRPr="00ED2414">
        <w:rPr>
          <w:rFonts w:ascii="Times New Roman" w:hAnsi="Times New Roman"/>
        </w:rPr>
        <w:t>The author(s), or a member of their household, does [not] serves as an officer, director or advisory board member of the subject company.</w:t>
      </w:r>
    </w:p>
    <w:p w14:paraId="6E65F6C9" w14:textId="77777777" w:rsidR="00656319" w:rsidRPr="00ED2414" w:rsidRDefault="00656319" w:rsidP="00656319">
      <w:pPr>
        <w:jc w:val="both"/>
        <w:rPr>
          <w:rFonts w:ascii="Times New Roman" w:hAnsi="Times New Roman"/>
          <w:b/>
          <w:bCs/>
        </w:rPr>
      </w:pPr>
      <w:r w:rsidRPr="00ED2414">
        <w:rPr>
          <w:rFonts w:ascii="Times New Roman" w:hAnsi="Times New Roman"/>
          <w:b/>
          <w:bCs/>
        </w:rPr>
        <w:t>Market making:</w:t>
      </w:r>
    </w:p>
    <w:p w14:paraId="58B978F3" w14:textId="77777777" w:rsidR="00656319" w:rsidRPr="00ED2414" w:rsidRDefault="00656319" w:rsidP="00656319">
      <w:pPr>
        <w:jc w:val="both"/>
        <w:rPr>
          <w:rFonts w:ascii="Times New Roman" w:hAnsi="Times New Roman"/>
        </w:rPr>
      </w:pPr>
      <w:r w:rsidRPr="00ED2414">
        <w:rPr>
          <w:rFonts w:ascii="Times New Roman" w:hAnsi="Times New Roman"/>
        </w:rPr>
        <w:t>The author(s) does [not] act as a market maker in the subject company’s securities.</w:t>
      </w:r>
    </w:p>
    <w:p w14:paraId="5E61ECE6" w14:textId="77777777" w:rsidR="00656319" w:rsidRPr="00ED2414" w:rsidRDefault="00656319" w:rsidP="00656319">
      <w:pPr>
        <w:pStyle w:val="BodyText"/>
        <w:jc w:val="both"/>
        <w:rPr>
          <w:rFonts w:ascii="Times New Roman" w:hAnsi="Times New Roman" w:cs="Times New Roman"/>
          <w:sz w:val="20"/>
        </w:rPr>
      </w:pPr>
      <w:r w:rsidRPr="00ED2414">
        <w:rPr>
          <w:rFonts w:ascii="Times New Roman" w:hAnsi="Times New Roman" w:cs="Times New Roman"/>
          <w:sz w:val="20"/>
        </w:rPr>
        <w:t>Ratings guide:</w:t>
      </w:r>
    </w:p>
    <w:p w14:paraId="6DCA1F99" w14:textId="77777777" w:rsidR="00656319" w:rsidRPr="00ED2414" w:rsidRDefault="00656319" w:rsidP="00656319">
      <w:pPr>
        <w:jc w:val="both"/>
        <w:rPr>
          <w:rFonts w:ascii="Times New Roman" w:hAnsi="Times New Roman"/>
        </w:rPr>
      </w:pPr>
      <w:r w:rsidRPr="00ED2414">
        <w:rPr>
          <w:rFonts w:ascii="Times New Roman" w:hAnsi="Times New Roman"/>
        </w:rPr>
        <w:t>Banks rate companies as either a BUY, HOLD or SELL.  A BUY rating is given when the security is expected to deliver absolute returns of 15% or greater over the next twelve month period, and recommends that investors take a position above the security’s weight in the S&amp;P 500, or any other relevant index.  A SELL rating is given when the security is expected to deliver negative returns over the next twelve months, while a HOLD rating implies flat returns over the next twelve months.</w:t>
      </w:r>
    </w:p>
    <w:p w14:paraId="7E2B2DEF" w14:textId="77777777" w:rsidR="00656319" w:rsidRPr="00ED2414" w:rsidRDefault="00656319" w:rsidP="00656319">
      <w:pPr>
        <w:jc w:val="both"/>
        <w:rPr>
          <w:rFonts w:ascii="Times New Roman" w:hAnsi="Times New Roman"/>
          <w:b/>
          <w:bCs/>
        </w:rPr>
      </w:pPr>
      <w:r w:rsidRPr="00ED2414">
        <w:rPr>
          <w:rFonts w:ascii="Times New Roman" w:hAnsi="Times New Roman"/>
          <w:b/>
          <w:bCs/>
        </w:rPr>
        <w:t>Disclaimer:</w:t>
      </w:r>
    </w:p>
    <w:p w14:paraId="598E25AE" w14:textId="77777777" w:rsidR="00656319" w:rsidRPr="00ED2414" w:rsidRDefault="00656319" w:rsidP="00656319">
      <w:pPr>
        <w:pBdr>
          <w:bottom w:val="single" w:sz="4" w:space="1" w:color="auto"/>
        </w:pBdr>
        <w:jc w:val="both"/>
        <w:rPr>
          <w:rFonts w:ascii="Times New Roman" w:hAnsi="Times New Roman"/>
        </w:rPr>
      </w:pPr>
      <w:r w:rsidRPr="00ED2414">
        <w:rPr>
          <w:rFonts w:ascii="Times New Roman" w:hAnsi="Times New Roman"/>
        </w:rPr>
        <w:t>The information set forth herein has been obtained or derived from sources generally available to the public and believed by the author(s) to be reliable, but the author(s) does not make any representation or warranty, express or implied, as to its accuracy or completeness. The information is not intended to be used as the basis of any investment decisions by any person or entity. This information does not constitute investment advice, nor is it an offer or a solicitation of an offer to buy or sell any security. This report should not be considered to be a recommendation by any individual affiliated with CFA Society Okanagan</w:t>
      </w:r>
      <w:r w:rsidRPr="00ED2414">
        <w:rPr>
          <w:rFonts w:ascii="Times New Roman" w:hAnsi="Times New Roman"/>
          <w:i/>
        </w:rPr>
        <w:t>,</w:t>
      </w:r>
      <w:r w:rsidRPr="00ED2414">
        <w:rPr>
          <w:rFonts w:ascii="Times New Roman" w:hAnsi="Times New Roman"/>
        </w:rPr>
        <w:t xml:space="preserve"> CFA Institute or the CFA Institute Research Challenge with regard to this company’s stock. </w:t>
      </w:r>
    </w:p>
    <w:p w14:paraId="3D4867CB" w14:textId="77777777" w:rsidR="00656319" w:rsidRPr="00EB4142" w:rsidRDefault="00656319" w:rsidP="00656319">
      <w:pPr>
        <w:rPr>
          <w:rFonts w:ascii="Times New Roman" w:hAnsi="Times New Roman"/>
          <w:sz w:val="16"/>
        </w:rPr>
      </w:pPr>
    </w:p>
    <w:p w14:paraId="1DC29996" w14:textId="77777777" w:rsidR="00656319" w:rsidRDefault="00656319" w:rsidP="00656319">
      <w:pPr>
        <w:rPr>
          <w:rFonts w:ascii="Times New Roman" w:hAnsi="Times New Roman"/>
          <w:sz w:val="16"/>
        </w:rPr>
      </w:pPr>
    </w:p>
    <w:p w14:paraId="4D8AC3DE" w14:textId="77777777" w:rsidR="00656319" w:rsidRDefault="00656319" w:rsidP="00656319">
      <w:pPr>
        <w:pStyle w:val="Header"/>
        <w:tabs>
          <w:tab w:val="clear" w:pos="4320"/>
          <w:tab w:val="clear" w:pos="8640"/>
        </w:tabs>
        <w:spacing w:after="60"/>
        <w:jc w:val="both"/>
        <w:rPr>
          <w:rFonts w:ascii="Times New Roman" w:hAnsi="Times New Roman"/>
        </w:rPr>
      </w:pPr>
    </w:p>
    <w:p w14:paraId="5F88F436" w14:textId="77777777" w:rsidR="00656319" w:rsidRDefault="00656319" w:rsidP="00656319">
      <w:pPr>
        <w:pStyle w:val="Header"/>
        <w:tabs>
          <w:tab w:val="clear" w:pos="4320"/>
          <w:tab w:val="clear" w:pos="8640"/>
        </w:tabs>
        <w:spacing w:after="60"/>
        <w:jc w:val="both"/>
        <w:rPr>
          <w:rFonts w:ascii="Times New Roman" w:hAnsi="Times New Roman"/>
        </w:rPr>
      </w:pPr>
    </w:p>
    <w:p w14:paraId="240DB048" w14:textId="77777777" w:rsidR="00656319" w:rsidRDefault="00656319" w:rsidP="00656319">
      <w:pPr>
        <w:pStyle w:val="Header"/>
        <w:tabs>
          <w:tab w:val="clear" w:pos="4320"/>
          <w:tab w:val="clear" w:pos="8640"/>
        </w:tabs>
        <w:spacing w:after="60"/>
        <w:jc w:val="both"/>
        <w:rPr>
          <w:rFonts w:ascii="Times New Roman" w:hAnsi="Times New Roman"/>
        </w:rPr>
      </w:pPr>
    </w:p>
    <w:p w14:paraId="3C308CE1" w14:textId="669009F2" w:rsidR="00656319" w:rsidRDefault="00656319" w:rsidP="00656319">
      <w:pPr>
        <w:pStyle w:val="Header"/>
        <w:tabs>
          <w:tab w:val="clear" w:pos="4320"/>
          <w:tab w:val="clear" w:pos="8640"/>
        </w:tabs>
        <w:spacing w:after="60"/>
        <w:jc w:val="both"/>
        <w:rPr>
          <w:rFonts w:ascii="Times New Roman" w:hAnsi="Times New Roman"/>
        </w:rPr>
      </w:pPr>
    </w:p>
    <w:p w14:paraId="2D995B99" w14:textId="77777777" w:rsidR="00656319" w:rsidRDefault="00656319" w:rsidP="00656319">
      <w:pPr>
        <w:pStyle w:val="Header"/>
        <w:tabs>
          <w:tab w:val="clear" w:pos="4320"/>
          <w:tab w:val="clear" w:pos="8640"/>
        </w:tabs>
        <w:spacing w:after="60"/>
        <w:jc w:val="both"/>
        <w:rPr>
          <w:rFonts w:ascii="Times New Roman" w:hAnsi="Times New Roman"/>
        </w:rPr>
      </w:pPr>
    </w:p>
    <w:p w14:paraId="6F5BB779" w14:textId="77777777" w:rsidR="00656319" w:rsidRDefault="00656319" w:rsidP="00656319">
      <w:pPr>
        <w:pStyle w:val="Header"/>
        <w:tabs>
          <w:tab w:val="clear" w:pos="4320"/>
          <w:tab w:val="clear" w:pos="8640"/>
        </w:tabs>
        <w:spacing w:after="60"/>
        <w:jc w:val="both"/>
        <w:rPr>
          <w:rFonts w:ascii="Times New Roman" w:hAnsi="Times New Roman"/>
        </w:rPr>
      </w:pPr>
    </w:p>
    <w:p w14:paraId="2C9A9452" w14:textId="77777777" w:rsidR="00656319" w:rsidRDefault="00656319" w:rsidP="00656319">
      <w:pPr>
        <w:pStyle w:val="Header"/>
        <w:tabs>
          <w:tab w:val="clear" w:pos="4320"/>
          <w:tab w:val="clear" w:pos="8640"/>
        </w:tabs>
        <w:spacing w:after="60"/>
        <w:jc w:val="both"/>
        <w:rPr>
          <w:rFonts w:ascii="Times New Roman" w:hAnsi="Times New Roman"/>
        </w:rPr>
      </w:pPr>
    </w:p>
    <w:p w14:paraId="4138CEE7" w14:textId="77777777" w:rsidR="00656319" w:rsidRDefault="00656319" w:rsidP="00656319">
      <w:pPr>
        <w:pStyle w:val="Header"/>
        <w:tabs>
          <w:tab w:val="clear" w:pos="4320"/>
          <w:tab w:val="clear" w:pos="8640"/>
        </w:tabs>
        <w:spacing w:after="60"/>
        <w:jc w:val="both"/>
        <w:rPr>
          <w:rFonts w:ascii="Times New Roman" w:hAnsi="Times New Roman"/>
        </w:rPr>
      </w:pPr>
    </w:p>
    <w:p w14:paraId="3B6647D7" w14:textId="77777777" w:rsidR="00656319" w:rsidRDefault="00656319" w:rsidP="00656319">
      <w:pPr>
        <w:pStyle w:val="Header"/>
        <w:tabs>
          <w:tab w:val="clear" w:pos="4320"/>
          <w:tab w:val="clear" w:pos="8640"/>
        </w:tabs>
        <w:spacing w:after="60"/>
        <w:jc w:val="both"/>
        <w:rPr>
          <w:rFonts w:ascii="Times New Roman" w:hAnsi="Times New Roman"/>
        </w:rPr>
      </w:pPr>
    </w:p>
    <w:p w14:paraId="5DDEC75D" w14:textId="77777777" w:rsidR="00656319" w:rsidRDefault="00656319" w:rsidP="00656319">
      <w:pPr>
        <w:pStyle w:val="Header"/>
        <w:tabs>
          <w:tab w:val="clear" w:pos="4320"/>
          <w:tab w:val="clear" w:pos="8640"/>
        </w:tabs>
        <w:spacing w:after="60"/>
        <w:jc w:val="both"/>
        <w:rPr>
          <w:rFonts w:ascii="Times New Roman" w:hAnsi="Times New Roman"/>
        </w:rPr>
      </w:pPr>
    </w:p>
    <w:p w14:paraId="469326D5" w14:textId="77777777" w:rsidR="00656319" w:rsidRDefault="00656319" w:rsidP="00656319">
      <w:pPr>
        <w:pStyle w:val="Header"/>
        <w:tabs>
          <w:tab w:val="clear" w:pos="4320"/>
          <w:tab w:val="clear" w:pos="8640"/>
        </w:tabs>
        <w:spacing w:after="60"/>
        <w:jc w:val="both"/>
        <w:rPr>
          <w:rFonts w:ascii="Times New Roman" w:hAnsi="Times New Roman"/>
        </w:rPr>
      </w:pPr>
    </w:p>
    <w:p w14:paraId="16459060" w14:textId="77777777" w:rsidR="00656319" w:rsidRDefault="00656319" w:rsidP="00656319">
      <w:pPr>
        <w:pStyle w:val="Header"/>
        <w:tabs>
          <w:tab w:val="clear" w:pos="4320"/>
          <w:tab w:val="clear" w:pos="8640"/>
        </w:tabs>
        <w:spacing w:after="60"/>
        <w:jc w:val="both"/>
        <w:rPr>
          <w:rFonts w:ascii="Times New Roman" w:hAnsi="Times New Roman"/>
        </w:rPr>
      </w:pPr>
    </w:p>
    <w:p w14:paraId="05C061EF" w14:textId="77777777" w:rsidR="00656319" w:rsidRDefault="00656319" w:rsidP="00656319">
      <w:pPr>
        <w:pStyle w:val="Header"/>
        <w:tabs>
          <w:tab w:val="clear" w:pos="4320"/>
          <w:tab w:val="clear" w:pos="8640"/>
        </w:tabs>
        <w:spacing w:after="60"/>
        <w:jc w:val="both"/>
        <w:rPr>
          <w:rFonts w:ascii="Times New Roman" w:hAnsi="Times New Roman"/>
        </w:rPr>
      </w:pPr>
    </w:p>
    <w:p w14:paraId="4079C3FF" w14:textId="77777777" w:rsidR="00656319" w:rsidRDefault="00656319" w:rsidP="00656319">
      <w:pPr>
        <w:pStyle w:val="Header"/>
        <w:tabs>
          <w:tab w:val="clear" w:pos="4320"/>
          <w:tab w:val="clear" w:pos="8640"/>
        </w:tabs>
        <w:spacing w:after="60"/>
        <w:jc w:val="both"/>
        <w:rPr>
          <w:rFonts w:ascii="Times New Roman" w:hAnsi="Times New Roman"/>
        </w:rPr>
      </w:pPr>
    </w:p>
    <w:p w14:paraId="1A60F3FE" w14:textId="77777777" w:rsidR="00656319" w:rsidRDefault="00656319" w:rsidP="00656319">
      <w:pPr>
        <w:pStyle w:val="Header"/>
        <w:tabs>
          <w:tab w:val="clear" w:pos="4320"/>
          <w:tab w:val="clear" w:pos="8640"/>
        </w:tabs>
        <w:spacing w:after="60"/>
        <w:jc w:val="both"/>
        <w:rPr>
          <w:rFonts w:ascii="Times New Roman" w:hAnsi="Times New Roman"/>
        </w:rPr>
      </w:pPr>
    </w:p>
    <w:p w14:paraId="147D0F66" w14:textId="77777777" w:rsidR="00656319" w:rsidRDefault="00656319" w:rsidP="00656319">
      <w:pPr>
        <w:pStyle w:val="Header"/>
        <w:tabs>
          <w:tab w:val="clear" w:pos="4320"/>
          <w:tab w:val="clear" w:pos="8640"/>
        </w:tabs>
        <w:spacing w:after="60"/>
        <w:jc w:val="both"/>
        <w:rPr>
          <w:rFonts w:ascii="Times New Roman" w:hAnsi="Times New Roman"/>
        </w:rPr>
      </w:pPr>
    </w:p>
    <w:p w14:paraId="1CC47168" w14:textId="77777777" w:rsidR="00656319" w:rsidRDefault="00656319" w:rsidP="00656319">
      <w:pPr>
        <w:pStyle w:val="Header"/>
        <w:tabs>
          <w:tab w:val="clear" w:pos="4320"/>
          <w:tab w:val="clear" w:pos="8640"/>
        </w:tabs>
        <w:spacing w:after="60"/>
        <w:jc w:val="both"/>
        <w:rPr>
          <w:rFonts w:ascii="Times New Roman" w:hAnsi="Times New Roman"/>
        </w:rPr>
      </w:pPr>
    </w:p>
    <w:p w14:paraId="373F62D9" w14:textId="77777777" w:rsidR="00656319" w:rsidRDefault="00656319" w:rsidP="00656319">
      <w:pPr>
        <w:pStyle w:val="Header"/>
        <w:tabs>
          <w:tab w:val="clear" w:pos="4320"/>
          <w:tab w:val="clear" w:pos="8640"/>
        </w:tabs>
        <w:spacing w:after="60"/>
        <w:jc w:val="both"/>
        <w:rPr>
          <w:rFonts w:ascii="Times New Roman" w:hAnsi="Times New Roman"/>
        </w:rPr>
      </w:pPr>
    </w:p>
    <w:p w14:paraId="15BFDDED" w14:textId="77777777" w:rsidR="00656319" w:rsidRDefault="00656319" w:rsidP="00656319">
      <w:pPr>
        <w:pStyle w:val="Header"/>
        <w:tabs>
          <w:tab w:val="clear" w:pos="4320"/>
          <w:tab w:val="clear" w:pos="8640"/>
        </w:tabs>
        <w:spacing w:after="60"/>
        <w:jc w:val="both"/>
        <w:rPr>
          <w:rFonts w:ascii="Times New Roman" w:hAnsi="Times New Roman"/>
        </w:rPr>
      </w:pPr>
    </w:p>
    <w:p w14:paraId="12039F31" w14:textId="77777777" w:rsidR="00ED2414" w:rsidRDefault="00ED2414" w:rsidP="00656319">
      <w:pPr>
        <w:pStyle w:val="Header"/>
        <w:tabs>
          <w:tab w:val="clear" w:pos="4320"/>
          <w:tab w:val="clear" w:pos="8640"/>
        </w:tabs>
        <w:spacing w:after="60"/>
        <w:jc w:val="both"/>
        <w:rPr>
          <w:rFonts w:ascii="Times New Roman" w:hAnsi="Times New Roman"/>
        </w:rPr>
      </w:pPr>
    </w:p>
    <w:p w14:paraId="159361D7" w14:textId="5ABED8F0" w:rsidR="00656319" w:rsidRDefault="00656319" w:rsidP="00656319">
      <w:pPr>
        <w:pStyle w:val="Header"/>
        <w:tabs>
          <w:tab w:val="clear" w:pos="4320"/>
          <w:tab w:val="clear" w:pos="8640"/>
        </w:tabs>
        <w:spacing w:after="60"/>
        <w:jc w:val="both"/>
        <w:rPr>
          <w:rFonts w:ascii="Times New Roman" w:hAnsi="Times New Roman"/>
        </w:rPr>
      </w:pPr>
      <w:r>
        <w:rPr>
          <w:rFonts w:ascii="Times New Roman" w:hAnsi="Times New Roman"/>
        </w:rPr>
        <w:lastRenderedPageBreak/>
        <w:t>Appendix</w:t>
      </w:r>
      <w:r w:rsidR="004855CB">
        <w:rPr>
          <w:rFonts w:ascii="Times New Roman" w:hAnsi="Times New Roman"/>
        </w:rPr>
        <w:t xml:space="preserve"> 1</w:t>
      </w:r>
      <w:r>
        <w:rPr>
          <w:rFonts w:ascii="Times New Roman" w:hAnsi="Times New Roman"/>
        </w:rPr>
        <w:t>:</w:t>
      </w:r>
    </w:p>
    <w:p w14:paraId="521D3CA9" w14:textId="77777777" w:rsidR="00656319" w:rsidRDefault="00656319" w:rsidP="00656319">
      <w:pPr>
        <w:tabs>
          <w:tab w:val="left" w:pos="1453"/>
        </w:tabs>
        <w:rPr>
          <w:rFonts w:ascii="Times New Roman" w:hAnsi="Times New Roman"/>
          <w:sz w:val="16"/>
        </w:rPr>
      </w:pPr>
      <w:r>
        <w:rPr>
          <w:noProof/>
          <w:lang w:val="en-CA" w:eastAsia="en-CA"/>
        </w:rPr>
        <w:drawing>
          <wp:inline distT="0" distB="0" distL="0" distR="0" wp14:anchorId="715EA699" wp14:editId="572A344A">
            <wp:extent cx="5943600" cy="4126230"/>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AD0B24" w14:textId="77777777" w:rsidR="00656319" w:rsidRPr="00EB4142" w:rsidRDefault="00656319" w:rsidP="00656319">
      <w:pPr>
        <w:rPr>
          <w:rFonts w:ascii="Times New Roman" w:hAnsi="Times New Roman"/>
          <w:sz w:val="16"/>
        </w:rPr>
      </w:pPr>
    </w:p>
    <w:p w14:paraId="7791458F" w14:textId="0ABDDC1F" w:rsidR="00656319" w:rsidRPr="00EB4142" w:rsidRDefault="009F4B07" w:rsidP="00656319">
      <w:pPr>
        <w:rPr>
          <w:rFonts w:ascii="Times New Roman" w:hAnsi="Times New Roman"/>
          <w:sz w:val="16"/>
        </w:rPr>
      </w:pPr>
      <w:r>
        <w:rPr>
          <w:rFonts w:ascii="Times New Roman" w:hAnsi="Times New Roman"/>
          <w:sz w:val="16"/>
        </w:rPr>
        <w:t>Source: Bloomberg LP</w:t>
      </w:r>
    </w:p>
    <w:p w14:paraId="38DA348E" w14:textId="77777777" w:rsidR="00A72396" w:rsidRDefault="00A72396" w:rsidP="00A72396">
      <w:pPr>
        <w:pStyle w:val="Header"/>
        <w:tabs>
          <w:tab w:val="clear" w:pos="4320"/>
          <w:tab w:val="clear" w:pos="8640"/>
        </w:tabs>
        <w:spacing w:after="60"/>
        <w:jc w:val="both"/>
        <w:rPr>
          <w:rFonts w:ascii="Times New Roman" w:hAnsi="Times New Roman"/>
        </w:rPr>
      </w:pPr>
    </w:p>
    <w:p w14:paraId="261EF89D" w14:textId="77777777" w:rsidR="00A72396" w:rsidRDefault="00A72396" w:rsidP="00A72396">
      <w:pPr>
        <w:pStyle w:val="Header"/>
        <w:tabs>
          <w:tab w:val="clear" w:pos="4320"/>
          <w:tab w:val="clear" w:pos="8640"/>
        </w:tabs>
        <w:spacing w:after="60"/>
        <w:jc w:val="both"/>
        <w:rPr>
          <w:rFonts w:ascii="Times New Roman" w:hAnsi="Times New Roman"/>
        </w:rPr>
      </w:pPr>
    </w:p>
    <w:p w14:paraId="0D346E63" w14:textId="77777777" w:rsidR="00A72396" w:rsidRDefault="00A72396" w:rsidP="00A72396">
      <w:pPr>
        <w:pStyle w:val="Header"/>
        <w:tabs>
          <w:tab w:val="clear" w:pos="4320"/>
          <w:tab w:val="clear" w:pos="8640"/>
        </w:tabs>
        <w:spacing w:after="60"/>
        <w:jc w:val="both"/>
        <w:rPr>
          <w:rFonts w:ascii="Times New Roman" w:hAnsi="Times New Roman"/>
        </w:rPr>
      </w:pPr>
    </w:p>
    <w:p w14:paraId="2F7B8D27" w14:textId="77777777" w:rsidR="00A72396" w:rsidRDefault="00A72396" w:rsidP="00A72396">
      <w:pPr>
        <w:pStyle w:val="Header"/>
        <w:tabs>
          <w:tab w:val="clear" w:pos="4320"/>
          <w:tab w:val="clear" w:pos="8640"/>
        </w:tabs>
        <w:spacing w:after="60"/>
        <w:jc w:val="both"/>
        <w:rPr>
          <w:rFonts w:ascii="Times New Roman" w:hAnsi="Times New Roman"/>
        </w:rPr>
      </w:pPr>
    </w:p>
    <w:p w14:paraId="31E2EC0F" w14:textId="77777777" w:rsidR="00A72396" w:rsidRDefault="00A72396" w:rsidP="00A72396">
      <w:pPr>
        <w:pStyle w:val="Header"/>
        <w:tabs>
          <w:tab w:val="clear" w:pos="4320"/>
          <w:tab w:val="clear" w:pos="8640"/>
        </w:tabs>
        <w:spacing w:after="60"/>
        <w:jc w:val="both"/>
        <w:rPr>
          <w:rFonts w:ascii="Times New Roman" w:hAnsi="Times New Roman"/>
        </w:rPr>
      </w:pPr>
    </w:p>
    <w:p w14:paraId="6986BB96" w14:textId="77777777" w:rsidR="00A72396" w:rsidRDefault="00A72396" w:rsidP="00A72396">
      <w:pPr>
        <w:pStyle w:val="Header"/>
        <w:tabs>
          <w:tab w:val="clear" w:pos="4320"/>
          <w:tab w:val="clear" w:pos="8640"/>
        </w:tabs>
        <w:spacing w:after="60"/>
        <w:jc w:val="both"/>
        <w:rPr>
          <w:rFonts w:ascii="Times New Roman" w:hAnsi="Times New Roman"/>
        </w:rPr>
      </w:pPr>
    </w:p>
    <w:p w14:paraId="70D755E9" w14:textId="77777777" w:rsidR="00A72396" w:rsidRDefault="00A72396" w:rsidP="00A72396">
      <w:pPr>
        <w:pStyle w:val="Header"/>
        <w:tabs>
          <w:tab w:val="clear" w:pos="4320"/>
          <w:tab w:val="clear" w:pos="8640"/>
        </w:tabs>
        <w:spacing w:after="60"/>
        <w:jc w:val="both"/>
        <w:rPr>
          <w:rFonts w:ascii="Times New Roman" w:hAnsi="Times New Roman"/>
        </w:rPr>
      </w:pPr>
    </w:p>
    <w:p w14:paraId="1007C57B" w14:textId="77777777" w:rsidR="00A72396" w:rsidRDefault="00A72396" w:rsidP="00A72396">
      <w:pPr>
        <w:pStyle w:val="Header"/>
        <w:tabs>
          <w:tab w:val="clear" w:pos="4320"/>
          <w:tab w:val="clear" w:pos="8640"/>
        </w:tabs>
        <w:spacing w:after="60"/>
        <w:jc w:val="both"/>
        <w:rPr>
          <w:rFonts w:ascii="Times New Roman" w:hAnsi="Times New Roman"/>
        </w:rPr>
      </w:pPr>
    </w:p>
    <w:p w14:paraId="152FC0A6" w14:textId="77777777" w:rsidR="00A72396" w:rsidRDefault="00A72396" w:rsidP="00A72396">
      <w:pPr>
        <w:pStyle w:val="Header"/>
        <w:tabs>
          <w:tab w:val="clear" w:pos="4320"/>
          <w:tab w:val="clear" w:pos="8640"/>
        </w:tabs>
        <w:spacing w:after="60"/>
        <w:jc w:val="both"/>
        <w:rPr>
          <w:rFonts w:ascii="Times New Roman" w:hAnsi="Times New Roman"/>
        </w:rPr>
      </w:pPr>
    </w:p>
    <w:p w14:paraId="63FE6649" w14:textId="77777777" w:rsidR="00A72396" w:rsidRDefault="00A72396" w:rsidP="00A72396">
      <w:pPr>
        <w:pStyle w:val="Header"/>
        <w:tabs>
          <w:tab w:val="clear" w:pos="4320"/>
          <w:tab w:val="clear" w:pos="8640"/>
        </w:tabs>
        <w:spacing w:after="60"/>
        <w:jc w:val="both"/>
        <w:rPr>
          <w:rFonts w:ascii="Times New Roman" w:hAnsi="Times New Roman"/>
        </w:rPr>
      </w:pPr>
    </w:p>
    <w:p w14:paraId="31A6F163" w14:textId="77777777" w:rsidR="00A72396" w:rsidRDefault="00A72396" w:rsidP="00A72396">
      <w:pPr>
        <w:pStyle w:val="Header"/>
        <w:tabs>
          <w:tab w:val="clear" w:pos="4320"/>
          <w:tab w:val="clear" w:pos="8640"/>
        </w:tabs>
        <w:spacing w:after="60"/>
        <w:jc w:val="both"/>
        <w:rPr>
          <w:rFonts w:ascii="Times New Roman" w:hAnsi="Times New Roman"/>
        </w:rPr>
      </w:pPr>
    </w:p>
    <w:p w14:paraId="6C8727E5" w14:textId="77777777" w:rsidR="00A72396" w:rsidRDefault="00A72396" w:rsidP="00A72396">
      <w:pPr>
        <w:pStyle w:val="Header"/>
        <w:tabs>
          <w:tab w:val="clear" w:pos="4320"/>
          <w:tab w:val="clear" w:pos="8640"/>
        </w:tabs>
        <w:spacing w:after="60"/>
        <w:jc w:val="both"/>
        <w:rPr>
          <w:rFonts w:ascii="Times New Roman" w:hAnsi="Times New Roman"/>
        </w:rPr>
      </w:pPr>
    </w:p>
    <w:p w14:paraId="18128098" w14:textId="77777777" w:rsidR="00A72396" w:rsidRDefault="00A72396" w:rsidP="00A72396">
      <w:pPr>
        <w:pStyle w:val="Header"/>
        <w:tabs>
          <w:tab w:val="clear" w:pos="4320"/>
          <w:tab w:val="clear" w:pos="8640"/>
        </w:tabs>
        <w:spacing w:after="60"/>
        <w:jc w:val="both"/>
        <w:rPr>
          <w:rFonts w:ascii="Times New Roman" w:hAnsi="Times New Roman"/>
        </w:rPr>
      </w:pPr>
    </w:p>
    <w:p w14:paraId="18DBF933" w14:textId="77777777" w:rsidR="00A72396" w:rsidRDefault="00A72396" w:rsidP="00A72396">
      <w:pPr>
        <w:pStyle w:val="Header"/>
        <w:tabs>
          <w:tab w:val="clear" w:pos="4320"/>
          <w:tab w:val="clear" w:pos="8640"/>
        </w:tabs>
        <w:spacing w:after="60"/>
        <w:jc w:val="both"/>
        <w:rPr>
          <w:rFonts w:ascii="Times New Roman" w:hAnsi="Times New Roman"/>
        </w:rPr>
      </w:pPr>
    </w:p>
    <w:p w14:paraId="49F3D2EC" w14:textId="77777777" w:rsidR="00A72396" w:rsidRDefault="00A72396" w:rsidP="00A72396">
      <w:pPr>
        <w:pStyle w:val="Header"/>
        <w:tabs>
          <w:tab w:val="clear" w:pos="4320"/>
          <w:tab w:val="clear" w:pos="8640"/>
        </w:tabs>
        <w:spacing w:after="60"/>
        <w:jc w:val="both"/>
        <w:rPr>
          <w:rFonts w:ascii="Times New Roman" w:hAnsi="Times New Roman"/>
        </w:rPr>
      </w:pPr>
    </w:p>
    <w:p w14:paraId="29EF86D2" w14:textId="77777777" w:rsidR="00A72396" w:rsidRDefault="00A72396" w:rsidP="00A72396">
      <w:pPr>
        <w:pStyle w:val="Header"/>
        <w:tabs>
          <w:tab w:val="clear" w:pos="4320"/>
          <w:tab w:val="clear" w:pos="8640"/>
        </w:tabs>
        <w:spacing w:after="60"/>
        <w:jc w:val="both"/>
        <w:rPr>
          <w:rFonts w:ascii="Times New Roman" w:hAnsi="Times New Roman"/>
        </w:rPr>
      </w:pPr>
    </w:p>
    <w:p w14:paraId="6513ED05" w14:textId="77777777" w:rsidR="00A72396" w:rsidRDefault="00A72396" w:rsidP="00A72396">
      <w:pPr>
        <w:pStyle w:val="Header"/>
        <w:tabs>
          <w:tab w:val="clear" w:pos="4320"/>
          <w:tab w:val="clear" w:pos="8640"/>
        </w:tabs>
        <w:spacing w:after="60"/>
        <w:jc w:val="both"/>
        <w:rPr>
          <w:rFonts w:ascii="Times New Roman" w:hAnsi="Times New Roman"/>
        </w:rPr>
      </w:pPr>
    </w:p>
    <w:p w14:paraId="1B2664DB" w14:textId="5C1C89AA" w:rsidR="00656319" w:rsidRPr="00A72396" w:rsidRDefault="00A72396" w:rsidP="00A72396">
      <w:pPr>
        <w:pStyle w:val="Header"/>
        <w:tabs>
          <w:tab w:val="clear" w:pos="4320"/>
          <w:tab w:val="clear" w:pos="8640"/>
        </w:tabs>
        <w:spacing w:after="60"/>
        <w:jc w:val="both"/>
        <w:rPr>
          <w:rFonts w:ascii="Times New Roman" w:hAnsi="Times New Roman"/>
        </w:rPr>
      </w:pPr>
      <w:r>
        <w:rPr>
          <w:rFonts w:ascii="Times New Roman" w:hAnsi="Times New Roman"/>
        </w:rPr>
        <w:lastRenderedPageBreak/>
        <w:t>Appendix 2 (Porters 5 Forces Framework):</w:t>
      </w:r>
    </w:p>
    <w:p w14:paraId="2AF7DA3C" w14:textId="77777777" w:rsidR="00656319" w:rsidRPr="00EB4142" w:rsidRDefault="00656319" w:rsidP="00656319">
      <w:pPr>
        <w:rPr>
          <w:rFonts w:ascii="Times New Roman" w:hAnsi="Times New Roman"/>
          <w:sz w:val="16"/>
        </w:rPr>
      </w:pPr>
      <w:r w:rsidRPr="00DD67DA">
        <w:rPr>
          <w:rFonts w:ascii="Calibri" w:hAnsi="Calibri"/>
          <w:noProof/>
          <w:highlight w:val="yellow"/>
          <w:lang w:val="en-CA" w:eastAsia="en-CA"/>
        </w:rPr>
        <w:drawing>
          <wp:anchor distT="0" distB="0" distL="114300" distR="114300" simplePos="0" relativeHeight="251659776" behindDoc="1" locked="0" layoutInCell="1" allowOverlap="1" wp14:anchorId="0924ECB4" wp14:editId="71FEE370">
            <wp:simplePos x="0" y="0"/>
            <wp:positionH relativeFrom="margin">
              <wp:posOffset>63500</wp:posOffset>
            </wp:positionH>
            <wp:positionV relativeFrom="paragraph">
              <wp:posOffset>48895</wp:posOffset>
            </wp:positionV>
            <wp:extent cx="6301105" cy="2834640"/>
            <wp:effectExtent l="0" t="0" r="0" b="1016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01105" cy="2834640"/>
                    </a:xfrm>
                    <a:prstGeom prst="rect">
                      <a:avLst/>
                    </a:prstGeom>
                    <a:noFill/>
                  </pic:spPr>
                </pic:pic>
              </a:graphicData>
            </a:graphic>
            <wp14:sizeRelH relativeFrom="page">
              <wp14:pctWidth>0</wp14:pctWidth>
            </wp14:sizeRelH>
            <wp14:sizeRelV relativeFrom="page">
              <wp14:pctHeight>0</wp14:pctHeight>
            </wp14:sizeRelV>
          </wp:anchor>
        </w:drawing>
      </w:r>
    </w:p>
    <w:p w14:paraId="0CC73832" w14:textId="4A74C2D9" w:rsidR="00656319" w:rsidRDefault="000B4ADA" w:rsidP="00656319">
      <w:pPr>
        <w:tabs>
          <w:tab w:val="left" w:pos="4343"/>
        </w:tabs>
        <w:rPr>
          <w:rFonts w:ascii="Times New Roman" w:hAnsi="Times New Roman"/>
          <w:sz w:val="16"/>
        </w:rPr>
      </w:pPr>
      <w:r>
        <w:rPr>
          <w:rFonts w:ascii="Times New Roman" w:hAnsi="Times New Roman"/>
          <w:sz w:val="16"/>
        </w:rPr>
        <w:t>Source: Team Research</w:t>
      </w:r>
    </w:p>
    <w:p w14:paraId="51C38405" w14:textId="77777777" w:rsidR="00656319" w:rsidRDefault="00656319" w:rsidP="00656319">
      <w:pPr>
        <w:tabs>
          <w:tab w:val="left" w:pos="4343"/>
        </w:tabs>
        <w:rPr>
          <w:rFonts w:ascii="Times New Roman" w:hAnsi="Times New Roman"/>
          <w:sz w:val="16"/>
        </w:rPr>
      </w:pPr>
    </w:p>
    <w:p w14:paraId="54AC9F73" w14:textId="77777777" w:rsidR="00656319" w:rsidRDefault="00656319" w:rsidP="00656319">
      <w:pPr>
        <w:tabs>
          <w:tab w:val="left" w:pos="4343"/>
        </w:tabs>
        <w:rPr>
          <w:rFonts w:ascii="Times New Roman" w:hAnsi="Times New Roman"/>
          <w:sz w:val="16"/>
        </w:rPr>
      </w:pPr>
    </w:p>
    <w:p w14:paraId="7D6DE906" w14:textId="77777777" w:rsidR="00656319" w:rsidRDefault="00656319" w:rsidP="00656319">
      <w:pPr>
        <w:tabs>
          <w:tab w:val="left" w:pos="4343"/>
        </w:tabs>
        <w:rPr>
          <w:rFonts w:ascii="Times New Roman" w:hAnsi="Times New Roman"/>
          <w:sz w:val="16"/>
        </w:rPr>
      </w:pPr>
    </w:p>
    <w:p w14:paraId="00936C6B" w14:textId="77777777" w:rsidR="00154750" w:rsidRDefault="00154750" w:rsidP="00656319">
      <w:pPr>
        <w:tabs>
          <w:tab w:val="left" w:pos="4343"/>
        </w:tabs>
        <w:rPr>
          <w:rFonts w:ascii="Times New Roman" w:hAnsi="Times New Roman"/>
          <w:sz w:val="16"/>
        </w:rPr>
      </w:pPr>
    </w:p>
    <w:p w14:paraId="32B2ECE2" w14:textId="77777777" w:rsidR="00154750" w:rsidRDefault="00154750" w:rsidP="00656319">
      <w:pPr>
        <w:tabs>
          <w:tab w:val="left" w:pos="4343"/>
        </w:tabs>
        <w:rPr>
          <w:rFonts w:ascii="Times New Roman" w:hAnsi="Times New Roman"/>
          <w:sz w:val="16"/>
        </w:rPr>
      </w:pPr>
    </w:p>
    <w:p w14:paraId="153673CB" w14:textId="77777777" w:rsidR="00154750" w:rsidRDefault="00154750" w:rsidP="00656319">
      <w:pPr>
        <w:tabs>
          <w:tab w:val="left" w:pos="4343"/>
        </w:tabs>
        <w:rPr>
          <w:rFonts w:ascii="Times New Roman" w:hAnsi="Times New Roman"/>
          <w:sz w:val="16"/>
        </w:rPr>
      </w:pPr>
    </w:p>
    <w:p w14:paraId="650501FB" w14:textId="77777777" w:rsidR="00154750" w:rsidRDefault="00154750" w:rsidP="00656319">
      <w:pPr>
        <w:tabs>
          <w:tab w:val="left" w:pos="4343"/>
        </w:tabs>
        <w:rPr>
          <w:rFonts w:ascii="Times New Roman" w:hAnsi="Times New Roman"/>
          <w:sz w:val="16"/>
        </w:rPr>
      </w:pPr>
    </w:p>
    <w:p w14:paraId="0C29EA78" w14:textId="77777777" w:rsidR="00154750" w:rsidRDefault="00154750" w:rsidP="00656319">
      <w:pPr>
        <w:tabs>
          <w:tab w:val="left" w:pos="4343"/>
        </w:tabs>
        <w:rPr>
          <w:rFonts w:ascii="Times New Roman" w:hAnsi="Times New Roman"/>
          <w:sz w:val="16"/>
        </w:rPr>
      </w:pPr>
    </w:p>
    <w:p w14:paraId="3F14A528" w14:textId="77777777" w:rsidR="00154750" w:rsidRDefault="00154750" w:rsidP="00656319">
      <w:pPr>
        <w:tabs>
          <w:tab w:val="left" w:pos="4343"/>
        </w:tabs>
        <w:rPr>
          <w:rFonts w:ascii="Times New Roman" w:hAnsi="Times New Roman"/>
          <w:sz w:val="16"/>
        </w:rPr>
      </w:pPr>
    </w:p>
    <w:p w14:paraId="1610C5C7" w14:textId="77777777" w:rsidR="00154750" w:rsidRDefault="00154750" w:rsidP="00656319">
      <w:pPr>
        <w:tabs>
          <w:tab w:val="left" w:pos="4343"/>
        </w:tabs>
        <w:rPr>
          <w:rFonts w:ascii="Times New Roman" w:hAnsi="Times New Roman"/>
          <w:sz w:val="16"/>
        </w:rPr>
      </w:pPr>
    </w:p>
    <w:p w14:paraId="1C801965" w14:textId="77777777" w:rsidR="00154750" w:rsidRDefault="00154750" w:rsidP="00656319">
      <w:pPr>
        <w:tabs>
          <w:tab w:val="left" w:pos="4343"/>
        </w:tabs>
        <w:rPr>
          <w:rFonts w:ascii="Times New Roman" w:hAnsi="Times New Roman"/>
          <w:sz w:val="16"/>
        </w:rPr>
      </w:pPr>
    </w:p>
    <w:p w14:paraId="795AF0B5" w14:textId="77777777" w:rsidR="00154750" w:rsidRDefault="00154750" w:rsidP="00656319">
      <w:pPr>
        <w:tabs>
          <w:tab w:val="left" w:pos="4343"/>
        </w:tabs>
        <w:rPr>
          <w:rFonts w:ascii="Times New Roman" w:hAnsi="Times New Roman"/>
          <w:sz w:val="16"/>
        </w:rPr>
      </w:pPr>
    </w:p>
    <w:p w14:paraId="30D158B9" w14:textId="77777777" w:rsidR="00154750" w:rsidRDefault="00154750" w:rsidP="00656319">
      <w:pPr>
        <w:tabs>
          <w:tab w:val="left" w:pos="4343"/>
        </w:tabs>
        <w:rPr>
          <w:rFonts w:ascii="Times New Roman" w:hAnsi="Times New Roman"/>
          <w:sz w:val="16"/>
        </w:rPr>
      </w:pPr>
    </w:p>
    <w:p w14:paraId="6A458C8B" w14:textId="77777777" w:rsidR="00154750" w:rsidRDefault="00154750" w:rsidP="00656319">
      <w:pPr>
        <w:tabs>
          <w:tab w:val="left" w:pos="4343"/>
        </w:tabs>
        <w:rPr>
          <w:rFonts w:ascii="Times New Roman" w:hAnsi="Times New Roman"/>
          <w:sz w:val="16"/>
        </w:rPr>
      </w:pPr>
    </w:p>
    <w:p w14:paraId="092D9A73" w14:textId="77777777" w:rsidR="00154750" w:rsidRDefault="00154750" w:rsidP="00656319">
      <w:pPr>
        <w:tabs>
          <w:tab w:val="left" w:pos="4343"/>
        </w:tabs>
        <w:rPr>
          <w:rFonts w:ascii="Times New Roman" w:hAnsi="Times New Roman"/>
          <w:sz w:val="16"/>
        </w:rPr>
      </w:pPr>
    </w:p>
    <w:p w14:paraId="358ADB1C" w14:textId="77777777" w:rsidR="00154750" w:rsidRDefault="00154750" w:rsidP="00656319">
      <w:pPr>
        <w:tabs>
          <w:tab w:val="left" w:pos="4343"/>
        </w:tabs>
        <w:rPr>
          <w:rFonts w:ascii="Times New Roman" w:hAnsi="Times New Roman"/>
          <w:sz w:val="16"/>
        </w:rPr>
      </w:pPr>
    </w:p>
    <w:p w14:paraId="2B0496E4" w14:textId="77777777" w:rsidR="00154750" w:rsidRDefault="00154750" w:rsidP="00656319">
      <w:pPr>
        <w:tabs>
          <w:tab w:val="left" w:pos="4343"/>
        </w:tabs>
        <w:rPr>
          <w:rFonts w:ascii="Times New Roman" w:hAnsi="Times New Roman"/>
          <w:sz w:val="16"/>
        </w:rPr>
      </w:pPr>
    </w:p>
    <w:p w14:paraId="6A1D7ADF" w14:textId="77777777" w:rsidR="00154750" w:rsidRDefault="00154750" w:rsidP="00656319">
      <w:pPr>
        <w:tabs>
          <w:tab w:val="left" w:pos="4343"/>
        </w:tabs>
        <w:rPr>
          <w:rFonts w:ascii="Times New Roman" w:hAnsi="Times New Roman"/>
          <w:sz w:val="16"/>
        </w:rPr>
      </w:pPr>
    </w:p>
    <w:p w14:paraId="07FFB93F" w14:textId="77777777" w:rsidR="00154750" w:rsidRDefault="00154750" w:rsidP="00656319">
      <w:pPr>
        <w:tabs>
          <w:tab w:val="left" w:pos="4343"/>
        </w:tabs>
        <w:rPr>
          <w:rFonts w:ascii="Times New Roman" w:hAnsi="Times New Roman"/>
          <w:sz w:val="16"/>
        </w:rPr>
      </w:pPr>
    </w:p>
    <w:p w14:paraId="78725F81" w14:textId="77777777" w:rsidR="00154750" w:rsidRDefault="00154750" w:rsidP="00656319">
      <w:pPr>
        <w:tabs>
          <w:tab w:val="left" w:pos="4343"/>
        </w:tabs>
        <w:rPr>
          <w:rFonts w:ascii="Times New Roman" w:hAnsi="Times New Roman"/>
          <w:sz w:val="16"/>
        </w:rPr>
      </w:pPr>
    </w:p>
    <w:p w14:paraId="56C6CBDA" w14:textId="77777777" w:rsidR="00154750" w:rsidRDefault="00154750" w:rsidP="00656319">
      <w:pPr>
        <w:tabs>
          <w:tab w:val="left" w:pos="4343"/>
        </w:tabs>
        <w:rPr>
          <w:rFonts w:ascii="Times New Roman" w:hAnsi="Times New Roman"/>
          <w:sz w:val="16"/>
        </w:rPr>
      </w:pPr>
    </w:p>
    <w:p w14:paraId="23874AEE" w14:textId="77777777" w:rsidR="00154750" w:rsidRDefault="00154750" w:rsidP="00656319">
      <w:pPr>
        <w:tabs>
          <w:tab w:val="left" w:pos="4343"/>
        </w:tabs>
        <w:rPr>
          <w:rFonts w:ascii="Times New Roman" w:hAnsi="Times New Roman"/>
          <w:sz w:val="16"/>
        </w:rPr>
      </w:pPr>
    </w:p>
    <w:p w14:paraId="1852530C" w14:textId="77777777" w:rsidR="00154750" w:rsidRDefault="00154750" w:rsidP="00656319">
      <w:pPr>
        <w:tabs>
          <w:tab w:val="left" w:pos="4343"/>
        </w:tabs>
        <w:rPr>
          <w:rFonts w:ascii="Times New Roman" w:hAnsi="Times New Roman"/>
          <w:sz w:val="16"/>
        </w:rPr>
      </w:pPr>
    </w:p>
    <w:p w14:paraId="2948AAE2" w14:textId="77777777" w:rsidR="00154750" w:rsidRDefault="00154750" w:rsidP="00656319">
      <w:pPr>
        <w:tabs>
          <w:tab w:val="left" w:pos="4343"/>
        </w:tabs>
        <w:rPr>
          <w:rFonts w:ascii="Times New Roman" w:hAnsi="Times New Roman"/>
          <w:sz w:val="16"/>
        </w:rPr>
      </w:pPr>
    </w:p>
    <w:p w14:paraId="63D06A6E" w14:textId="77777777" w:rsidR="00154750" w:rsidRDefault="00154750" w:rsidP="00656319">
      <w:pPr>
        <w:tabs>
          <w:tab w:val="left" w:pos="4343"/>
        </w:tabs>
        <w:rPr>
          <w:rFonts w:ascii="Times New Roman" w:hAnsi="Times New Roman"/>
          <w:sz w:val="16"/>
        </w:rPr>
      </w:pPr>
    </w:p>
    <w:p w14:paraId="4D8FDEFE" w14:textId="77777777" w:rsidR="00154750" w:rsidRDefault="00154750" w:rsidP="00656319">
      <w:pPr>
        <w:tabs>
          <w:tab w:val="left" w:pos="4343"/>
        </w:tabs>
        <w:rPr>
          <w:rFonts w:ascii="Times New Roman" w:hAnsi="Times New Roman"/>
          <w:sz w:val="16"/>
        </w:rPr>
      </w:pPr>
    </w:p>
    <w:p w14:paraId="236A98BB" w14:textId="77777777" w:rsidR="00154750" w:rsidRDefault="00154750" w:rsidP="00656319">
      <w:pPr>
        <w:tabs>
          <w:tab w:val="left" w:pos="4343"/>
        </w:tabs>
        <w:rPr>
          <w:rFonts w:ascii="Times New Roman" w:hAnsi="Times New Roman"/>
          <w:sz w:val="16"/>
        </w:rPr>
      </w:pPr>
    </w:p>
    <w:p w14:paraId="4B720B56" w14:textId="77777777" w:rsidR="00154750" w:rsidRDefault="00154750" w:rsidP="00656319">
      <w:pPr>
        <w:tabs>
          <w:tab w:val="left" w:pos="4343"/>
        </w:tabs>
        <w:rPr>
          <w:rFonts w:ascii="Times New Roman" w:hAnsi="Times New Roman"/>
          <w:sz w:val="16"/>
        </w:rPr>
      </w:pPr>
    </w:p>
    <w:p w14:paraId="7129AE11" w14:textId="77777777" w:rsidR="00154750" w:rsidRDefault="00154750" w:rsidP="00656319">
      <w:pPr>
        <w:tabs>
          <w:tab w:val="left" w:pos="4343"/>
        </w:tabs>
        <w:rPr>
          <w:rFonts w:ascii="Times New Roman" w:hAnsi="Times New Roman"/>
          <w:sz w:val="16"/>
        </w:rPr>
      </w:pPr>
    </w:p>
    <w:p w14:paraId="6707BB7C" w14:textId="77777777" w:rsidR="00154750" w:rsidRDefault="00154750" w:rsidP="00656319">
      <w:pPr>
        <w:tabs>
          <w:tab w:val="left" w:pos="4343"/>
        </w:tabs>
        <w:rPr>
          <w:rFonts w:ascii="Times New Roman" w:hAnsi="Times New Roman"/>
          <w:sz w:val="16"/>
        </w:rPr>
      </w:pPr>
    </w:p>
    <w:p w14:paraId="2EB060E2" w14:textId="77777777" w:rsidR="00154750" w:rsidRDefault="00154750" w:rsidP="00656319">
      <w:pPr>
        <w:tabs>
          <w:tab w:val="left" w:pos="4343"/>
        </w:tabs>
        <w:rPr>
          <w:rFonts w:ascii="Times New Roman" w:hAnsi="Times New Roman"/>
          <w:sz w:val="16"/>
        </w:rPr>
      </w:pPr>
    </w:p>
    <w:p w14:paraId="3F8199F7" w14:textId="77777777" w:rsidR="00154750" w:rsidRDefault="00154750" w:rsidP="00656319">
      <w:pPr>
        <w:tabs>
          <w:tab w:val="left" w:pos="4343"/>
        </w:tabs>
        <w:rPr>
          <w:rFonts w:ascii="Times New Roman" w:hAnsi="Times New Roman"/>
          <w:sz w:val="16"/>
        </w:rPr>
      </w:pPr>
    </w:p>
    <w:p w14:paraId="69FC66BB" w14:textId="77777777" w:rsidR="00154750" w:rsidRDefault="00154750" w:rsidP="00656319">
      <w:pPr>
        <w:tabs>
          <w:tab w:val="left" w:pos="4343"/>
        </w:tabs>
        <w:rPr>
          <w:rFonts w:ascii="Times New Roman" w:hAnsi="Times New Roman"/>
          <w:sz w:val="16"/>
        </w:rPr>
      </w:pPr>
    </w:p>
    <w:p w14:paraId="12FDF126" w14:textId="77777777" w:rsidR="00154750" w:rsidRDefault="00154750" w:rsidP="00656319">
      <w:pPr>
        <w:tabs>
          <w:tab w:val="left" w:pos="4343"/>
        </w:tabs>
        <w:rPr>
          <w:rFonts w:ascii="Times New Roman" w:hAnsi="Times New Roman"/>
          <w:sz w:val="16"/>
        </w:rPr>
      </w:pPr>
    </w:p>
    <w:p w14:paraId="3318F0C8" w14:textId="77777777" w:rsidR="00154750" w:rsidRDefault="00154750" w:rsidP="00656319">
      <w:pPr>
        <w:tabs>
          <w:tab w:val="left" w:pos="4343"/>
        </w:tabs>
        <w:rPr>
          <w:rFonts w:ascii="Times New Roman" w:hAnsi="Times New Roman"/>
          <w:sz w:val="16"/>
        </w:rPr>
      </w:pPr>
    </w:p>
    <w:p w14:paraId="5EDA086A" w14:textId="77777777" w:rsidR="00154750" w:rsidRDefault="00154750" w:rsidP="00656319">
      <w:pPr>
        <w:tabs>
          <w:tab w:val="left" w:pos="4343"/>
        </w:tabs>
        <w:rPr>
          <w:rFonts w:ascii="Times New Roman" w:hAnsi="Times New Roman"/>
          <w:sz w:val="16"/>
        </w:rPr>
      </w:pPr>
    </w:p>
    <w:p w14:paraId="6D81A997" w14:textId="77777777" w:rsidR="00154750" w:rsidRDefault="00154750" w:rsidP="00656319">
      <w:pPr>
        <w:tabs>
          <w:tab w:val="left" w:pos="4343"/>
        </w:tabs>
        <w:rPr>
          <w:rFonts w:ascii="Times New Roman" w:hAnsi="Times New Roman"/>
          <w:sz w:val="16"/>
        </w:rPr>
      </w:pPr>
    </w:p>
    <w:p w14:paraId="2253F2F4" w14:textId="77777777" w:rsidR="00154750" w:rsidRDefault="00154750" w:rsidP="00656319">
      <w:pPr>
        <w:tabs>
          <w:tab w:val="left" w:pos="4343"/>
        </w:tabs>
        <w:rPr>
          <w:rFonts w:ascii="Times New Roman" w:hAnsi="Times New Roman"/>
          <w:sz w:val="16"/>
        </w:rPr>
      </w:pPr>
    </w:p>
    <w:p w14:paraId="099C401A" w14:textId="77777777" w:rsidR="00154750" w:rsidRDefault="00154750" w:rsidP="00656319">
      <w:pPr>
        <w:tabs>
          <w:tab w:val="left" w:pos="4343"/>
        </w:tabs>
        <w:rPr>
          <w:rFonts w:ascii="Times New Roman" w:hAnsi="Times New Roman"/>
          <w:sz w:val="16"/>
        </w:rPr>
      </w:pPr>
    </w:p>
    <w:p w14:paraId="4A53E788" w14:textId="77777777" w:rsidR="00154750" w:rsidRDefault="00154750" w:rsidP="00656319">
      <w:pPr>
        <w:tabs>
          <w:tab w:val="left" w:pos="4343"/>
        </w:tabs>
        <w:rPr>
          <w:rFonts w:ascii="Times New Roman" w:hAnsi="Times New Roman"/>
          <w:sz w:val="16"/>
        </w:rPr>
      </w:pPr>
    </w:p>
    <w:p w14:paraId="0FE62E31" w14:textId="77777777" w:rsidR="00154750" w:rsidRDefault="00154750" w:rsidP="00656319">
      <w:pPr>
        <w:tabs>
          <w:tab w:val="left" w:pos="4343"/>
        </w:tabs>
        <w:rPr>
          <w:rFonts w:ascii="Times New Roman" w:hAnsi="Times New Roman"/>
          <w:sz w:val="16"/>
        </w:rPr>
      </w:pPr>
    </w:p>
    <w:p w14:paraId="0C86C2DA" w14:textId="77777777" w:rsidR="00154750" w:rsidRDefault="00154750" w:rsidP="00656319">
      <w:pPr>
        <w:tabs>
          <w:tab w:val="left" w:pos="4343"/>
        </w:tabs>
        <w:rPr>
          <w:rFonts w:ascii="Times New Roman" w:hAnsi="Times New Roman"/>
          <w:sz w:val="16"/>
        </w:rPr>
      </w:pPr>
    </w:p>
    <w:p w14:paraId="7C917ABF" w14:textId="42960E3F" w:rsidR="00656319" w:rsidRPr="00154750" w:rsidRDefault="00154750" w:rsidP="00656319">
      <w:pPr>
        <w:tabs>
          <w:tab w:val="left" w:pos="4343"/>
        </w:tabs>
        <w:rPr>
          <w:rFonts w:ascii="Times New Roman" w:hAnsi="Times New Roman"/>
          <w:b/>
        </w:rPr>
      </w:pPr>
      <w:r w:rsidRPr="00154750">
        <w:rPr>
          <w:rFonts w:ascii="Times New Roman" w:hAnsi="Times New Roman"/>
          <w:b/>
          <w:sz w:val="24"/>
        </w:rPr>
        <w:lastRenderedPageBreak/>
        <w:t>Appendix 2</w:t>
      </w:r>
      <w:r>
        <w:rPr>
          <w:rFonts w:ascii="Times New Roman" w:hAnsi="Times New Roman"/>
          <w:b/>
          <w:sz w:val="24"/>
        </w:rPr>
        <w:t xml:space="preserve"> (Correlation between CAD/USD and WB stock price):</w:t>
      </w:r>
    </w:p>
    <w:p w14:paraId="741EDD0E" w14:textId="7DE43B86" w:rsidR="00656319" w:rsidRDefault="00656319" w:rsidP="00656319">
      <w:pPr>
        <w:tabs>
          <w:tab w:val="left" w:pos="4343"/>
        </w:tabs>
        <w:rPr>
          <w:rFonts w:ascii="Times New Roman" w:hAnsi="Times New Roman"/>
          <w:sz w:val="16"/>
        </w:rPr>
      </w:pPr>
    </w:p>
    <w:p w14:paraId="5F136309" w14:textId="0851B874" w:rsidR="00656319" w:rsidRDefault="00AA62B7" w:rsidP="00656319">
      <w:pPr>
        <w:tabs>
          <w:tab w:val="left" w:pos="4343"/>
        </w:tabs>
        <w:rPr>
          <w:rFonts w:ascii="Times New Roman" w:hAnsi="Times New Roman"/>
          <w:sz w:val="16"/>
        </w:rPr>
      </w:pPr>
      <w:r>
        <w:rPr>
          <w:rFonts w:ascii="Times New Roman" w:hAnsi="Times New Roman"/>
          <w:noProof/>
          <w:sz w:val="16"/>
          <w:lang w:val="en-CA" w:eastAsia="en-CA"/>
        </w:rPr>
        <w:drawing>
          <wp:anchor distT="0" distB="0" distL="114300" distR="114300" simplePos="0" relativeHeight="251662848" behindDoc="1" locked="0" layoutInCell="1" allowOverlap="1" wp14:anchorId="4BE9C472" wp14:editId="0CD1797A">
            <wp:simplePos x="0" y="0"/>
            <wp:positionH relativeFrom="column">
              <wp:posOffset>17780</wp:posOffset>
            </wp:positionH>
            <wp:positionV relativeFrom="paragraph">
              <wp:posOffset>-10795</wp:posOffset>
            </wp:positionV>
            <wp:extent cx="6404610" cy="1997075"/>
            <wp:effectExtent l="0" t="0" r="0" b="952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4610" cy="199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B4157" w14:textId="2884C3A1" w:rsidR="00656319" w:rsidRDefault="00656319" w:rsidP="00656319">
      <w:pPr>
        <w:tabs>
          <w:tab w:val="left" w:pos="4343"/>
        </w:tabs>
        <w:rPr>
          <w:rFonts w:ascii="Times New Roman" w:hAnsi="Times New Roman"/>
          <w:sz w:val="16"/>
        </w:rPr>
      </w:pPr>
    </w:p>
    <w:p w14:paraId="61965DC0" w14:textId="77777777" w:rsidR="00656319" w:rsidRDefault="00656319" w:rsidP="00656319">
      <w:pPr>
        <w:tabs>
          <w:tab w:val="left" w:pos="4343"/>
        </w:tabs>
        <w:rPr>
          <w:rFonts w:ascii="Times New Roman" w:hAnsi="Times New Roman"/>
          <w:sz w:val="16"/>
        </w:rPr>
      </w:pPr>
    </w:p>
    <w:p w14:paraId="609782F6" w14:textId="24A77AC5" w:rsidR="00656319" w:rsidRDefault="00656319" w:rsidP="00656319">
      <w:pPr>
        <w:tabs>
          <w:tab w:val="left" w:pos="4343"/>
        </w:tabs>
        <w:rPr>
          <w:rFonts w:ascii="Times New Roman" w:hAnsi="Times New Roman"/>
          <w:sz w:val="16"/>
        </w:rPr>
      </w:pPr>
    </w:p>
    <w:p w14:paraId="2F880D02" w14:textId="4CA288E8" w:rsidR="00656319" w:rsidRDefault="00656319" w:rsidP="00656319">
      <w:pPr>
        <w:tabs>
          <w:tab w:val="left" w:pos="4343"/>
        </w:tabs>
        <w:rPr>
          <w:rFonts w:ascii="Times New Roman" w:hAnsi="Times New Roman"/>
          <w:sz w:val="16"/>
        </w:rPr>
      </w:pPr>
    </w:p>
    <w:p w14:paraId="1167BFF3" w14:textId="77777777" w:rsidR="00656319" w:rsidRDefault="00656319" w:rsidP="00656319">
      <w:pPr>
        <w:tabs>
          <w:tab w:val="left" w:pos="4343"/>
        </w:tabs>
        <w:rPr>
          <w:rFonts w:ascii="Times New Roman" w:hAnsi="Times New Roman"/>
          <w:sz w:val="16"/>
        </w:rPr>
      </w:pPr>
    </w:p>
    <w:p w14:paraId="543B85EC" w14:textId="77777777" w:rsidR="00656319" w:rsidRDefault="00656319" w:rsidP="00656319">
      <w:pPr>
        <w:tabs>
          <w:tab w:val="left" w:pos="4343"/>
        </w:tabs>
        <w:rPr>
          <w:rFonts w:ascii="Times New Roman" w:hAnsi="Times New Roman"/>
          <w:sz w:val="16"/>
        </w:rPr>
      </w:pPr>
    </w:p>
    <w:p w14:paraId="0A8D94DD" w14:textId="77777777" w:rsidR="00656319" w:rsidRDefault="00656319" w:rsidP="00656319">
      <w:pPr>
        <w:tabs>
          <w:tab w:val="left" w:pos="4343"/>
        </w:tabs>
        <w:rPr>
          <w:rFonts w:ascii="Times New Roman" w:hAnsi="Times New Roman"/>
          <w:sz w:val="16"/>
        </w:rPr>
      </w:pPr>
    </w:p>
    <w:p w14:paraId="7494ABDD" w14:textId="3BB12F23" w:rsidR="00656319" w:rsidRDefault="00656319" w:rsidP="00656319">
      <w:pPr>
        <w:tabs>
          <w:tab w:val="left" w:pos="4343"/>
        </w:tabs>
        <w:rPr>
          <w:rFonts w:ascii="Times New Roman" w:hAnsi="Times New Roman"/>
          <w:sz w:val="16"/>
        </w:rPr>
      </w:pPr>
    </w:p>
    <w:p w14:paraId="0692255D" w14:textId="77777777" w:rsidR="00656319" w:rsidRDefault="00656319" w:rsidP="00656319">
      <w:pPr>
        <w:tabs>
          <w:tab w:val="left" w:pos="4343"/>
        </w:tabs>
        <w:rPr>
          <w:rFonts w:ascii="Times New Roman" w:hAnsi="Times New Roman"/>
          <w:sz w:val="16"/>
        </w:rPr>
      </w:pPr>
    </w:p>
    <w:p w14:paraId="2FB01FCD" w14:textId="77777777" w:rsidR="00656319" w:rsidRDefault="00656319" w:rsidP="00656319">
      <w:pPr>
        <w:tabs>
          <w:tab w:val="left" w:pos="4343"/>
        </w:tabs>
        <w:rPr>
          <w:rFonts w:ascii="Times New Roman" w:hAnsi="Times New Roman"/>
          <w:sz w:val="16"/>
        </w:rPr>
      </w:pPr>
    </w:p>
    <w:p w14:paraId="12C0CC19" w14:textId="77777777" w:rsidR="00656319" w:rsidRDefault="00656319" w:rsidP="00656319">
      <w:pPr>
        <w:tabs>
          <w:tab w:val="left" w:pos="4343"/>
        </w:tabs>
        <w:rPr>
          <w:rFonts w:ascii="Times New Roman" w:hAnsi="Times New Roman"/>
          <w:sz w:val="16"/>
        </w:rPr>
      </w:pPr>
    </w:p>
    <w:p w14:paraId="09629FA5" w14:textId="77777777" w:rsidR="00656319" w:rsidRDefault="00656319" w:rsidP="00656319">
      <w:pPr>
        <w:tabs>
          <w:tab w:val="left" w:pos="4343"/>
        </w:tabs>
        <w:rPr>
          <w:rFonts w:ascii="Times New Roman" w:hAnsi="Times New Roman"/>
          <w:sz w:val="16"/>
        </w:rPr>
      </w:pPr>
    </w:p>
    <w:p w14:paraId="27933823" w14:textId="77777777" w:rsidR="00656319" w:rsidRDefault="00656319" w:rsidP="00656319">
      <w:pPr>
        <w:tabs>
          <w:tab w:val="left" w:pos="4343"/>
        </w:tabs>
        <w:rPr>
          <w:rFonts w:ascii="Times New Roman" w:hAnsi="Times New Roman"/>
          <w:sz w:val="16"/>
        </w:rPr>
      </w:pPr>
    </w:p>
    <w:p w14:paraId="55DD5D39" w14:textId="77777777" w:rsidR="00656319" w:rsidRDefault="00656319" w:rsidP="00656319">
      <w:pPr>
        <w:tabs>
          <w:tab w:val="left" w:pos="4343"/>
        </w:tabs>
        <w:rPr>
          <w:rFonts w:ascii="Times New Roman" w:hAnsi="Times New Roman"/>
          <w:sz w:val="16"/>
        </w:rPr>
      </w:pPr>
    </w:p>
    <w:p w14:paraId="284E2AA0" w14:textId="27B3FAC0" w:rsidR="00656319" w:rsidRDefault="00656319" w:rsidP="00656319">
      <w:pPr>
        <w:tabs>
          <w:tab w:val="left" w:pos="4343"/>
        </w:tabs>
        <w:rPr>
          <w:rFonts w:ascii="Times New Roman" w:hAnsi="Times New Roman"/>
          <w:sz w:val="16"/>
        </w:rPr>
      </w:pPr>
    </w:p>
    <w:p w14:paraId="59C60A93" w14:textId="77777777" w:rsidR="00656319" w:rsidRPr="00933D90" w:rsidRDefault="00656319" w:rsidP="00656319">
      <w:pPr>
        <w:rPr>
          <w:rFonts w:ascii="Times New Roman" w:hAnsi="Times New Roman"/>
          <w:sz w:val="16"/>
        </w:rPr>
      </w:pPr>
    </w:p>
    <w:p w14:paraId="789C5B6B" w14:textId="77777777" w:rsidR="00154750" w:rsidRDefault="00154750" w:rsidP="00535519">
      <w:pPr>
        <w:rPr>
          <w:rFonts w:ascii="Times New Roman" w:hAnsi="Times New Roman"/>
          <w:sz w:val="16"/>
        </w:rPr>
      </w:pPr>
    </w:p>
    <w:p w14:paraId="216C209E" w14:textId="47A336B6" w:rsidR="00154750" w:rsidRDefault="00E71A02" w:rsidP="00535519">
      <w:pPr>
        <w:rPr>
          <w:rFonts w:ascii="Times New Roman" w:hAnsi="Times New Roman"/>
          <w:sz w:val="16"/>
        </w:rPr>
      </w:pPr>
      <w:r>
        <w:rPr>
          <w:rFonts w:ascii="Times New Roman" w:hAnsi="Times New Roman"/>
          <w:sz w:val="16"/>
        </w:rPr>
        <w:t xml:space="preserve">Source: </w:t>
      </w:r>
      <w:r w:rsidR="007A44FC">
        <w:rPr>
          <w:rFonts w:ascii="Times New Roman" w:hAnsi="Times New Roman"/>
          <w:sz w:val="16"/>
        </w:rPr>
        <w:t>Bloomberg LP</w:t>
      </w:r>
    </w:p>
    <w:p w14:paraId="4C2C13E8" w14:textId="77777777" w:rsidR="00154750" w:rsidRDefault="00154750" w:rsidP="00535519">
      <w:pPr>
        <w:rPr>
          <w:rFonts w:ascii="Times New Roman" w:hAnsi="Times New Roman"/>
          <w:sz w:val="16"/>
        </w:rPr>
      </w:pPr>
    </w:p>
    <w:p w14:paraId="52048233" w14:textId="77777777" w:rsidR="00154750" w:rsidRDefault="00154750" w:rsidP="00535519">
      <w:pPr>
        <w:rPr>
          <w:rFonts w:ascii="Times New Roman" w:hAnsi="Times New Roman"/>
          <w:sz w:val="16"/>
        </w:rPr>
      </w:pPr>
    </w:p>
    <w:p w14:paraId="1203ACFB" w14:textId="77777777" w:rsidR="00154750" w:rsidRDefault="00154750" w:rsidP="00535519">
      <w:pPr>
        <w:rPr>
          <w:rFonts w:ascii="Times New Roman" w:hAnsi="Times New Roman"/>
          <w:sz w:val="16"/>
        </w:rPr>
      </w:pPr>
    </w:p>
    <w:p w14:paraId="320FD37B" w14:textId="77777777" w:rsidR="00154750" w:rsidRDefault="00154750" w:rsidP="00535519">
      <w:pPr>
        <w:rPr>
          <w:rFonts w:ascii="Times New Roman" w:hAnsi="Times New Roman"/>
          <w:sz w:val="16"/>
        </w:rPr>
      </w:pPr>
    </w:p>
    <w:p w14:paraId="2430D54D" w14:textId="77777777" w:rsidR="00154750" w:rsidRDefault="00154750" w:rsidP="00535519">
      <w:pPr>
        <w:rPr>
          <w:rFonts w:ascii="Times New Roman" w:hAnsi="Times New Roman"/>
          <w:sz w:val="16"/>
        </w:rPr>
      </w:pPr>
    </w:p>
    <w:p w14:paraId="0073A69F" w14:textId="77777777" w:rsidR="00154750" w:rsidRDefault="00154750" w:rsidP="00535519">
      <w:pPr>
        <w:rPr>
          <w:rFonts w:ascii="Times New Roman" w:hAnsi="Times New Roman"/>
          <w:sz w:val="16"/>
        </w:rPr>
      </w:pPr>
    </w:p>
    <w:p w14:paraId="6FCBC55A" w14:textId="77777777" w:rsidR="00154750" w:rsidRDefault="00154750" w:rsidP="00535519">
      <w:pPr>
        <w:rPr>
          <w:rFonts w:ascii="Times New Roman" w:hAnsi="Times New Roman"/>
          <w:sz w:val="16"/>
        </w:rPr>
      </w:pPr>
    </w:p>
    <w:p w14:paraId="775EF23F" w14:textId="77777777" w:rsidR="00154750" w:rsidRDefault="00154750" w:rsidP="00535519">
      <w:pPr>
        <w:rPr>
          <w:rFonts w:ascii="Times New Roman" w:hAnsi="Times New Roman"/>
          <w:sz w:val="16"/>
        </w:rPr>
      </w:pPr>
    </w:p>
    <w:p w14:paraId="10805D7D" w14:textId="77777777" w:rsidR="00154750" w:rsidRDefault="00154750" w:rsidP="00535519">
      <w:pPr>
        <w:rPr>
          <w:rFonts w:ascii="Times New Roman" w:hAnsi="Times New Roman"/>
          <w:sz w:val="16"/>
        </w:rPr>
      </w:pPr>
    </w:p>
    <w:p w14:paraId="278F4EF7" w14:textId="77777777" w:rsidR="00154750" w:rsidRDefault="00154750" w:rsidP="00535519">
      <w:pPr>
        <w:rPr>
          <w:rFonts w:ascii="Times New Roman" w:hAnsi="Times New Roman"/>
          <w:sz w:val="16"/>
        </w:rPr>
      </w:pPr>
    </w:p>
    <w:p w14:paraId="3FD5294E" w14:textId="77777777" w:rsidR="00154750" w:rsidRDefault="00154750" w:rsidP="00535519">
      <w:pPr>
        <w:rPr>
          <w:rFonts w:ascii="Times New Roman" w:hAnsi="Times New Roman"/>
          <w:sz w:val="16"/>
        </w:rPr>
      </w:pPr>
    </w:p>
    <w:p w14:paraId="6F9E6B6D" w14:textId="77777777" w:rsidR="00154750" w:rsidRDefault="00154750" w:rsidP="00535519">
      <w:pPr>
        <w:rPr>
          <w:rFonts w:ascii="Times New Roman" w:hAnsi="Times New Roman"/>
          <w:sz w:val="16"/>
        </w:rPr>
      </w:pPr>
    </w:p>
    <w:p w14:paraId="2B8C297D" w14:textId="77777777" w:rsidR="00154750" w:rsidRDefault="00154750" w:rsidP="00535519">
      <w:pPr>
        <w:rPr>
          <w:rFonts w:ascii="Times New Roman" w:hAnsi="Times New Roman"/>
          <w:sz w:val="16"/>
        </w:rPr>
      </w:pPr>
    </w:p>
    <w:p w14:paraId="3B2061AC" w14:textId="77777777" w:rsidR="00154750" w:rsidRDefault="00154750" w:rsidP="00535519">
      <w:pPr>
        <w:rPr>
          <w:rFonts w:ascii="Times New Roman" w:hAnsi="Times New Roman"/>
          <w:sz w:val="16"/>
        </w:rPr>
      </w:pPr>
    </w:p>
    <w:p w14:paraId="644FE557" w14:textId="77777777" w:rsidR="00154750" w:rsidRDefault="00154750" w:rsidP="00535519">
      <w:pPr>
        <w:rPr>
          <w:rFonts w:ascii="Times New Roman" w:hAnsi="Times New Roman"/>
          <w:sz w:val="16"/>
        </w:rPr>
      </w:pPr>
    </w:p>
    <w:p w14:paraId="681E1CFC" w14:textId="77777777" w:rsidR="00154750" w:rsidRDefault="00154750" w:rsidP="00535519">
      <w:pPr>
        <w:rPr>
          <w:rFonts w:ascii="Times New Roman" w:hAnsi="Times New Roman"/>
          <w:sz w:val="16"/>
        </w:rPr>
      </w:pPr>
    </w:p>
    <w:p w14:paraId="664ADC57" w14:textId="77777777" w:rsidR="00154750" w:rsidRDefault="00154750" w:rsidP="00535519">
      <w:pPr>
        <w:rPr>
          <w:rFonts w:ascii="Times New Roman" w:hAnsi="Times New Roman"/>
          <w:sz w:val="16"/>
        </w:rPr>
      </w:pPr>
    </w:p>
    <w:p w14:paraId="60F3EBEA" w14:textId="77777777" w:rsidR="00154750" w:rsidRDefault="00154750" w:rsidP="00535519">
      <w:pPr>
        <w:rPr>
          <w:rFonts w:ascii="Times New Roman" w:hAnsi="Times New Roman"/>
          <w:sz w:val="16"/>
        </w:rPr>
      </w:pPr>
    </w:p>
    <w:p w14:paraId="08AE68F2" w14:textId="77777777" w:rsidR="00154750" w:rsidRDefault="00154750" w:rsidP="00535519">
      <w:pPr>
        <w:rPr>
          <w:rFonts w:ascii="Times New Roman" w:hAnsi="Times New Roman"/>
          <w:sz w:val="16"/>
        </w:rPr>
      </w:pPr>
    </w:p>
    <w:p w14:paraId="25FCC5D6" w14:textId="77777777" w:rsidR="00154750" w:rsidRDefault="00154750" w:rsidP="00535519">
      <w:pPr>
        <w:rPr>
          <w:rFonts w:ascii="Times New Roman" w:hAnsi="Times New Roman"/>
          <w:sz w:val="16"/>
        </w:rPr>
      </w:pPr>
    </w:p>
    <w:p w14:paraId="6D3E65E0" w14:textId="77777777" w:rsidR="00154750" w:rsidRDefault="00154750" w:rsidP="00535519">
      <w:pPr>
        <w:rPr>
          <w:rFonts w:ascii="Times New Roman" w:hAnsi="Times New Roman"/>
          <w:sz w:val="16"/>
        </w:rPr>
      </w:pPr>
    </w:p>
    <w:p w14:paraId="0DD738FD" w14:textId="77777777" w:rsidR="00154750" w:rsidRDefault="00154750" w:rsidP="00535519">
      <w:pPr>
        <w:rPr>
          <w:rFonts w:ascii="Times New Roman" w:hAnsi="Times New Roman"/>
          <w:sz w:val="16"/>
        </w:rPr>
      </w:pPr>
    </w:p>
    <w:p w14:paraId="14B20A12" w14:textId="77777777" w:rsidR="00154750" w:rsidRDefault="00154750" w:rsidP="00535519">
      <w:pPr>
        <w:rPr>
          <w:rFonts w:ascii="Times New Roman" w:hAnsi="Times New Roman"/>
          <w:sz w:val="16"/>
        </w:rPr>
      </w:pPr>
    </w:p>
    <w:p w14:paraId="0D3904F2" w14:textId="77777777" w:rsidR="00154750" w:rsidRDefault="00154750" w:rsidP="00535519">
      <w:pPr>
        <w:rPr>
          <w:rFonts w:ascii="Times New Roman" w:hAnsi="Times New Roman"/>
          <w:sz w:val="16"/>
        </w:rPr>
      </w:pPr>
    </w:p>
    <w:p w14:paraId="5F7F786D" w14:textId="77777777" w:rsidR="00154750" w:rsidRDefault="00154750" w:rsidP="00535519">
      <w:pPr>
        <w:rPr>
          <w:rFonts w:ascii="Times New Roman" w:hAnsi="Times New Roman"/>
          <w:sz w:val="16"/>
        </w:rPr>
      </w:pPr>
    </w:p>
    <w:p w14:paraId="383BD680" w14:textId="77777777" w:rsidR="00154750" w:rsidRDefault="00154750" w:rsidP="00535519">
      <w:pPr>
        <w:rPr>
          <w:rFonts w:ascii="Times New Roman" w:hAnsi="Times New Roman"/>
          <w:sz w:val="16"/>
        </w:rPr>
      </w:pPr>
    </w:p>
    <w:p w14:paraId="6AA0AB5D" w14:textId="77777777" w:rsidR="00154750" w:rsidRDefault="00154750" w:rsidP="00535519">
      <w:pPr>
        <w:rPr>
          <w:rFonts w:ascii="Times New Roman" w:hAnsi="Times New Roman"/>
          <w:sz w:val="16"/>
        </w:rPr>
      </w:pPr>
    </w:p>
    <w:p w14:paraId="30DAF7D6" w14:textId="77777777" w:rsidR="00154750" w:rsidRDefault="00154750" w:rsidP="00535519">
      <w:pPr>
        <w:rPr>
          <w:rFonts w:ascii="Times New Roman" w:hAnsi="Times New Roman"/>
          <w:sz w:val="16"/>
        </w:rPr>
      </w:pPr>
    </w:p>
    <w:p w14:paraId="5B62998B" w14:textId="77777777" w:rsidR="00154750" w:rsidRDefault="00154750" w:rsidP="00535519">
      <w:pPr>
        <w:rPr>
          <w:rFonts w:ascii="Times New Roman" w:hAnsi="Times New Roman"/>
          <w:sz w:val="16"/>
        </w:rPr>
      </w:pPr>
    </w:p>
    <w:p w14:paraId="70A94A4D" w14:textId="77777777" w:rsidR="00154750" w:rsidRDefault="00154750" w:rsidP="00535519">
      <w:pPr>
        <w:rPr>
          <w:rFonts w:ascii="Times New Roman" w:hAnsi="Times New Roman"/>
          <w:sz w:val="16"/>
        </w:rPr>
      </w:pPr>
    </w:p>
    <w:p w14:paraId="29945FE3" w14:textId="77777777" w:rsidR="00154750" w:rsidRDefault="00154750" w:rsidP="00535519">
      <w:pPr>
        <w:rPr>
          <w:rFonts w:ascii="Times New Roman" w:hAnsi="Times New Roman"/>
          <w:sz w:val="16"/>
        </w:rPr>
      </w:pPr>
    </w:p>
    <w:p w14:paraId="3C2F614E" w14:textId="77777777" w:rsidR="00154750" w:rsidRDefault="00154750" w:rsidP="00535519">
      <w:pPr>
        <w:rPr>
          <w:rFonts w:ascii="Times New Roman" w:hAnsi="Times New Roman"/>
          <w:sz w:val="16"/>
        </w:rPr>
      </w:pPr>
    </w:p>
    <w:p w14:paraId="00B4BF03" w14:textId="77777777" w:rsidR="00154750" w:rsidRDefault="00154750" w:rsidP="00535519">
      <w:pPr>
        <w:rPr>
          <w:rFonts w:ascii="Times New Roman" w:hAnsi="Times New Roman"/>
          <w:sz w:val="16"/>
        </w:rPr>
      </w:pPr>
    </w:p>
    <w:p w14:paraId="3110891E" w14:textId="77777777" w:rsidR="00154750" w:rsidRDefault="00154750" w:rsidP="00535519">
      <w:pPr>
        <w:rPr>
          <w:rFonts w:ascii="Times New Roman" w:hAnsi="Times New Roman"/>
          <w:sz w:val="16"/>
        </w:rPr>
      </w:pPr>
    </w:p>
    <w:p w14:paraId="6269121F" w14:textId="77777777" w:rsidR="00154750" w:rsidRDefault="00154750" w:rsidP="00535519">
      <w:pPr>
        <w:rPr>
          <w:rFonts w:ascii="Times New Roman" w:hAnsi="Times New Roman"/>
          <w:sz w:val="16"/>
        </w:rPr>
      </w:pPr>
    </w:p>
    <w:p w14:paraId="73E92CE0" w14:textId="77777777" w:rsidR="00154750" w:rsidRDefault="00154750" w:rsidP="00535519">
      <w:pPr>
        <w:rPr>
          <w:rFonts w:ascii="Times New Roman" w:hAnsi="Times New Roman"/>
          <w:sz w:val="16"/>
        </w:rPr>
      </w:pPr>
    </w:p>
    <w:p w14:paraId="536B8E67" w14:textId="77777777" w:rsidR="00154750" w:rsidRDefault="00154750" w:rsidP="00535519">
      <w:pPr>
        <w:rPr>
          <w:rFonts w:ascii="Times New Roman" w:hAnsi="Times New Roman"/>
          <w:sz w:val="16"/>
        </w:rPr>
      </w:pPr>
    </w:p>
    <w:p w14:paraId="6042D72A" w14:textId="77777777" w:rsidR="00154750" w:rsidRDefault="00154750" w:rsidP="00535519">
      <w:pPr>
        <w:rPr>
          <w:rFonts w:ascii="Times New Roman" w:hAnsi="Times New Roman"/>
          <w:sz w:val="16"/>
        </w:rPr>
      </w:pPr>
    </w:p>
    <w:p w14:paraId="7F45469D" w14:textId="77777777" w:rsidR="00154750" w:rsidRDefault="00154750" w:rsidP="00535519">
      <w:pPr>
        <w:rPr>
          <w:rFonts w:ascii="Times New Roman" w:hAnsi="Times New Roman"/>
          <w:sz w:val="16"/>
        </w:rPr>
      </w:pPr>
    </w:p>
    <w:p w14:paraId="1FB2E581" w14:textId="77777777" w:rsidR="00154750" w:rsidRDefault="00154750" w:rsidP="00535519">
      <w:pPr>
        <w:rPr>
          <w:rFonts w:ascii="Times New Roman" w:hAnsi="Times New Roman"/>
          <w:sz w:val="16"/>
        </w:rPr>
      </w:pPr>
    </w:p>
    <w:p w14:paraId="2D1B5211" w14:textId="77777777" w:rsidR="00154750" w:rsidRDefault="00154750" w:rsidP="00535519">
      <w:pPr>
        <w:rPr>
          <w:rFonts w:ascii="Times New Roman" w:hAnsi="Times New Roman"/>
          <w:sz w:val="16"/>
        </w:rPr>
      </w:pPr>
    </w:p>
    <w:p w14:paraId="0C28259A" w14:textId="77777777" w:rsidR="00154750" w:rsidRDefault="00154750" w:rsidP="00535519">
      <w:pPr>
        <w:rPr>
          <w:rFonts w:ascii="Times New Roman" w:hAnsi="Times New Roman"/>
          <w:sz w:val="16"/>
        </w:rPr>
      </w:pPr>
    </w:p>
    <w:p w14:paraId="7B374D19" w14:textId="77777777" w:rsidR="00154750" w:rsidRDefault="00154750" w:rsidP="00535519">
      <w:pPr>
        <w:rPr>
          <w:rFonts w:ascii="Times New Roman" w:hAnsi="Times New Roman"/>
          <w:sz w:val="16"/>
        </w:rPr>
      </w:pPr>
    </w:p>
    <w:p w14:paraId="1395B537" w14:textId="77777777" w:rsidR="00154750" w:rsidRDefault="00154750" w:rsidP="00535519">
      <w:pPr>
        <w:rPr>
          <w:rFonts w:ascii="Times New Roman" w:hAnsi="Times New Roman"/>
          <w:sz w:val="16"/>
        </w:rPr>
      </w:pPr>
    </w:p>
    <w:p w14:paraId="7155BFA4" w14:textId="77777777" w:rsidR="00154750" w:rsidRDefault="00154750" w:rsidP="00535519">
      <w:pPr>
        <w:rPr>
          <w:rFonts w:ascii="Times New Roman" w:hAnsi="Times New Roman"/>
          <w:sz w:val="16"/>
        </w:rPr>
      </w:pPr>
    </w:p>
    <w:p w14:paraId="01A5ED6B" w14:textId="77777777" w:rsidR="00154750" w:rsidRDefault="00154750" w:rsidP="00535519">
      <w:pPr>
        <w:rPr>
          <w:rFonts w:ascii="Times New Roman" w:hAnsi="Times New Roman"/>
          <w:sz w:val="16"/>
        </w:rPr>
      </w:pPr>
    </w:p>
    <w:p w14:paraId="5591D8A5" w14:textId="77777777" w:rsidR="00154750" w:rsidRDefault="00154750" w:rsidP="00535519">
      <w:pPr>
        <w:rPr>
          <w:rFonts w:ascii="Times New Roman" w:hAnsi="Times New Roman"/>
          <w:sz w:val="16"/>
        </w:rPr>
      </w:pPr>
    </w:p>
    <w:p w14:paraId="57310350" w14:textId="77777777" w:rsidR="00154750" w:rsidRDefault="00154750" w:rsidP="00535519">
      <w:pPr>
        <w:rPr>
          <w:rFonts w:ascii="Times New Roman" w:hAnsi="Times New Roman"/>
          <w:sz w:val="16"/>
        </w:rPr>
      </w:pPr>
    </w:p>
    <w:p w14:paraId="33B9434F" w14:textId="77777777" w:rsidR="00154750" w:rsidRDefault="00154750" w:rsidP="00535519">
      <w:pPr>
        <w:rPr>
          <w:rFonts w:ascii="Times New Roman" w:hAnsi="Times New Roman"/>
          <w:sz w:val="16"/>
        </w:rPr>
      </w:pPr>
    </w:p>
    <w:p w14:paraId="4D0D476D" w14:textId="685D1DFE" w:rsidR="00263B03" w:rsidRDefault="00154750" w:rsidP="00535519">
      <w:pPr>
        <w:rPr>
          <w:rFonts w:ascii="Times New Roman" w:hAnsi="Times New Roman"/>
          <w:b/>
          <w:sz w:val="24"/>
        </w:rPr>
      </w:pPr>
      <w:r w:rsidRPr="00154750">
        <w:rPr>
          <w:rFonts w:ascii="Times New Roman" w:hAnsi="Times New Roman"/>
          <w:b/>
          <w:sz w:val="24"/>
        </w:rPr>
        <w:lastRenderedPageBreak/>
        <w:t xml:space="preserve">Appendix </w:t>
      </w:r>
      <w:r>
        <w:rPr>
          <w:rFonts w:ascii="Times New Roman" w:hAnsi="Times New Roman"/>
          <w:b/>
          <w:sz w:val="24"/>
        </w:rPr>
        <w:t>3:</w:t>
      </w:r>
      <w:r w:rsidR="00E33D42">
        <w:rPr>
          <w:noProof/>
          <w:lang w:val="en-CA" w:eastAsia="en-CA"/>
        </w:rPr>
        <w:drawing>
          <wp:inline distT="0" distB="0" distL="0" distR="0" wp14:anchorId="0144E411" wp14:editId="6D243B2C">
            <wp:extent cx="6404610" cy="4675886"/>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4610" cy="4675886"/>
                    </a:xfrm>
                    <a:prstGeom prst="rect">
                      <a:avLst/>
                    </a:prstGeom>
                    <a:noFill/>
                    <a:ln>
                      <a:noFill/>
                    </a:ln>
                  </pic:spPr>
                </pic:pic>
              </a:graphicData>
            </a:graphic>
          </wp:inline>
        </w:drawing>
      </w:r>
    </w:p>
    <w:p w14:paraId="745BC84E" w14:textId="77777777" w:rsidR="000967CD" w:rsidRDefault="000967CD" w:rsidP="00535519">
      <w:pPr>
        <w:rPr>
          <w:rFonts w:ascii="Times New Roman" w:hAnsi="Times New Roman"/>
          <w:b/>
          <w:sz w:val="24"/>
        </w:rPr>
      </w:pPr>
    </w:p>
    <w:p w14:paraId="0020522C" w14:textId="72FD22F2" w:rsidR="000967CD" w:rsidRPr="000967CD" w:rsidRDefault="000967CD" w:rsidP="00535519">
      <w:pPr>
        <w:rPr>
          <w:noProof/>
          <w:sz w:val="16"/>
          <w:szCs w:val="16"/>
          <w:lang w:val="en-CA" w:eastAsia="en-CA"/>
        </w:rPr>
        <w:sectPr w:rsidR="000967CD" w:rsidRPr="000967CD" w:rsidSect="00D84358">
          <w:headerReference w:type="default" r:id="rId30"/>
          <w:footerReference w:type="even" r:id="rId31"/>
          <w:footerReference w:type="default" r:id="rId32"/>
          <w:headerReference w:type="first" r:id="rId33"/>
          <w:pgSz w:w="12240" w:h="15840" w:code="1"/>
          <w:pgMar w:top="1077" w:right="1077" w:bottom="1021" w:left="1077" w:header="1077" w:footer="720" w:gutter="0"/>
          <w:cols w:space="720"/>
          <w:titlePg/>
        </w:sectPr>
      </w:pPr>
      <w:r w:rsidRPr="000967CD">
        <w:rPr>
          <w:rFonts w:ascii="Times New Roman" w:hAnsi="Times New Roman"/>
          <w:sz w:val="16"/>
          <w:szCs w:val="16"/>
        </w:rPr>
        <w:t>Source: Whistler Blackcomb Holdings LP</w:t>
      </w:r>
    </w:p>
    <w:p w14:paraId="57548ACA" w14:textId="77032823" w:rsidR="00154750" w:rsidRDefault="00154750">
      <w:pPr>
        <w:pStyle w:val="Footer"/>
        <w:tabs>
          <w:tab w:val="clear" w:pos="4320"/>
          <w:tab w:val="clear" w:pos="8640"/>
        </w:tabs>
        <w:rPr>
          <w:sz w:val="18"/>
        </w:rPr>
      </w:pPr>
      <w:r w:rsidRPr="00154750">
        <w:rPr>
          <w:rFonts w:ascii="Times New Roman" w:hAnsi="Times New Roman"/>
          <w:b/>
          <w:sz w:val="24"/>
        </w:rPr>
        <w:lastRenderedPageBreak/>
        <w:t xml:space="preserve">Appendix </w:t>
      </w:r>
      <w:r>
        <w:rPr>
          <w:rFonts w:ascii="Times New Roman" w:hAnsi="Times New Roman"/>
          <w:b/>
          <w:sz w:val="24"/>
        </w:rPr>
        <w:t>4 (Discounted Cash Flow Valuation):</w:t>
      </w:r>
    </w:p>
    <w:p w14:paraId="615D4857" w14:textId="77777777" w:rsidR="00154750" w:rsidRDefault="00154750">
      <w:pPr>
        <w:pStyle w:val="Footer"/>
        <w:tabs>
          <w:tab w:val="clear" w:pos="4320"/>
          <w:tab w:val="clear" w:pos="8640"/>
        </w:tabs>
        <w:rPr>
          <w:sz w:val="18"/>
        </w:rPr>
      </w:pPr>
    </w:p>
    <w:p w14:paraId="117A029B" w14:textId="41BE3D67" w:rsidR="00263B03" w:rsidRDefault="001F7544">
      <w:pPr>
        <w:pStyle w:val="Footer"/>
        <w:tabs>
          <w:tab w:val="clear" w:pos="4320"/>
          <w:tab w:val="clear" w:pos="8640"/>
        </w:tabs>
        <w:rPr>
          <w:sz w:val="18"/>
        </w:rPr>
      </w:pPr>
      <w:r w:rsidRPr="001F7544">
        <w:rPr>
          <w:noProof/>
          <w:lang w:val="en-CA" w:eastAsia="en-CA"/>
        </w:rPr>
        <w:drawing>
          <wp:anchor distT="0" distB="0" distL="114300" distR="114300" simplePos="0" relativeHeight="251683328" behindDoc="1" locked="0" layoutInCell="1" allowOverlap="1" wp14:anchorId="4149EED6" wp14:editId="07ED7559">
            <wp:simplePos x="0" y="0"/>
            <wp:positionH relativeFrom="page">
              <wp:align>left</wp:align>
            </wp:positionH>
            <wp:positionV relativeFrom="paragraph">
              <wp:posOffset>5080</wp:posOffset>
            </wp:positionV>
            <wp:extent cx="7715547" cy="1752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727221" cy="175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C2BE44" w14:textId="7F5A2EB1" w:rsidR="00263B03" w:rsidRDefault="00263B03">
      <w:pPr>
        <w:rPr>
          <w:sz w:val="18"/>
        </w:rPr>
      </w:pPr>
    </w:p>
    <w:p w14:paraId="49A0E993" w14:textId="1E2D9C29" w:rsidR="00223DF7" w:rsidRDefault="00223DF7">
      <w:pPr>
        <w:pBdr>
          <w:bottom w:val="single" w:sz="4" w:space="1" w:color="auto"/>
        </w:pBdr>
        <w:jc w:val="both"/>
        <w:rPr>
          <w:rFonts w:ascii="Times New Roman" w:hAnsi="Times New Roman"/>
          <w:sz w:val="16"/>
        </w:rPr>
      </w:pPr>
    </w:p>
    <w:p w14:paraId="365875F2" w14:textId="48035974" w:rsidR="00D16115" w:rsidRDefault="00D16115">
      <w:pPr>
        <w:pBdr>
          <w:bottom w:val="single" w:sz="4" w:space="1" w:color="auto"/>
        </w:pBdr>
        <w:jc w:val="both"/>
        <w:rPr>
          <w:rFonts w:ascii="Times New Roman" w:hAnsi="Times New Roman"/>
          <w:sz w:val="16"/>
        </w:rPr>
      </w:pPr>
    </w:p>
    <w:p w14:paraId="7AB18799" w14:textId="5FD75569" w:rsidR="00D16115" w:rsidRDefault="00D16115">
      <w:pPr>
        <w:pBdr>
          <w:bottom w:val="single" w:sz="4" w:space="1" w:color="auto"/>
        </w:pBdr>
        <w:jc w:val="both"/>
        <w:rPr>
          <w:rFonts w:ascii="Times New Roman" w:hAnsi="Times New Roman"/>
          <w:sz w:val="16"/>
        </w:rPr>
      </w:pPr>
    </w:p>
    <w:p w14:paraId="07ABEBC0" w14:textId="1F5EB418" w:rsidR="00D16115" w:rsidRDefault="00D16115">
      <w:pPr>
        <w:pBdr>
          <w:bottom w:val="single" w:sz="4" w:space="1" w:color="auto"/>
        </w:pBdr>
        <w:jc w:val="both"/>
        <w:rPr>
          <w:rFonts w:ascii="Times New Roman" w:hAnsi="Times New Roman"/>
          <w:sz w:val="16"/>
        </w:rPr>
      </w:pPr>
    </w:p>
    <w:p w14:paraId="697FDF44" w14:textId="1BD5EC4C" w:rsidR="00D16115" w:rsidRDefault="00D16115">
      <w:pPr>
        <w:pBdr>
          <w:bottom w:val="single" w:sz="4" w:space="1" w:color="auto"/>
        </w:pBdr>
        <w:jc w:val="both"/>
        <w:rPr>
          <w:rFonts w:ascii="Times New Roman" w:hAnsi="Times New Roman"/>
          <w:sz w:val="16"/>
        </w:rPr>
      </w:pPr>
    </w:p>
    <w:p w14:paraId="69A52E95" w14:textId="3264C24A" w:rsidR="00D16115" w:rsidRDefault="00D16115">
      <w:pPr>
        <w:pBdr>
          <w:bottom w:val="single" w:sz="4" w:space="1" w:color="auto"/>
        </w:pBdr>
        <w:jc w:val="both"/>
        <w:rPr>
          <w:rFonts w:ascii="Times New Roman" w:hAnsi="Times New Roman"/>
          <w:sz w:val="16"/>
        </w:rPr>
      </w:pPr>
    </w:p>
    <w:p w14:paraId="00F90624" w14:textId="6193B3C9" w:rsidR="00D16115" w:rsidRDefault="00D16115">
      <w:pPr>
        <w:pBdr>
          <w:bottom w:val="single" w:sz="4" w:space="1" w:color="auto"/>
        </w:pBdr>
        <w:jc w:val="both"/>
        <w:rPr>
          <w:rFonts w:ascii="Times New Roman" w:hAnsi="Times New Roman"/>
          <w:sz w:val="16"/>
        </w:rPr>
      </w:pPr>
    </w:p>
    <w:p w14:paraId="6C6D37CA" w14:textId="4ED880AF" w:rsidR="00D16115" w:rsidRDefault="00D16115">
      <w:pPr>
        <w:pBdr>
          <w:bottom w:val="single" w:sz="4" w:space="1" w:color="auto"/>
        </w:pBdr>
        <w:jc w:val="both"/>
        <w:rPr>
          <w:rFonts w:ascii="Times New Roman" w:hAnsi="Times New Roman"/>
          <w:sz w:val="16"/>
        </w:rPr>
      </w:pPr>
    </w:p>
    <w:p w14:paraId="76FE0A69" w14:textId="77777777" w:rsidR="001F7544" w:rsidRDefault="001F7544">
      <w:pPr>
        <w:pBdr>
          <w:bottom w:val="single" w:sz="4" w:space="1" w:color="auto"/>
        </w:pBdr>
        <w:jc w:val="both"/>
        <w:rPr>
          <w:rFonts w:ascii="Times New Roman" w:hAnsi="Times New Roman"/>
          <w:sz w:val="16"/>
        </w:rPr>
      </w:pPr>
    </w:p>
    <w:p w14:paraId="2EE1497A" w14:textId="77777777" w:rsidR="001F7544" w:rsidRDefault="001F7544">
      <w:pPr>
        <w:pBdr>
          <w:bottom w:val="single" w:sz="4" w:space="1" w:color="auto"/>
        </w:pBdr>
        <w:jc w:val="both"/>
        <w:rPr>
          <w:rFonts w:ascii="Times New Roman" w:hAnsi="Times New Roman"/>
          <w:sz w:val="16"/>
        </w:rPr>
      </w:pPr>
    </w:p>
    <w:p w14:paraId="13CCA5BD" w14:textId="56F334E1" w:rsidR="001F7544" w:rsidRDefault="001F7544">
      <w:pPr>
        <w:pBdr>
          <w:bottom w:val="single" w:sz="4" w:space="1" w:color="auto"/>
        </w:pBdr>
        <w:jc w:val="both"/>
        <w:rPr>
          <w:rFonts w:ascii="Times New Roman" w:hAnsi="Times New Roman"/>
          <w:sz w:val="16"/>
        </w:rPr>
      </w:pPr>
    </w:p>
    <w:p w14:paraId="6DCF21B4" w14:textId="77777777" w:rsidR="001F7544" w:rsidRDefault="001F7544">
      <w:pPr>
        <w:pBdr>
          <w:bottom w:val="single" w:sz="4" w:space="1" w:color="auto"/>
        </w:pBdr>
        <w:jc w:val="both"/>
        <w:rPr>
          <w:rFonts w:ascii="Times New Roman" w:hAnsi="Times New Roman"/>
          <w:sz w:val="16"/>
        </w:rPr>
      </w:pPr>
    </w:p>
    <w:p w14:paraId="7196D7C3" w14:textId="42F9380B" w:rsidR="001F7544" w:rsidRDefault="001F7544">
      <w:pPr>
        <w:pBdr>
          <w:bottom w:val="single" w:sz="4" w:space="1" w:color="auto"/>
        </w:pBdr>
        <w:jc w:val="both"/>
        <w:rPr>
          <w:rFonts w:ascii="Times New Roman" w:hAnsi="Times New Roman"/>
          <w:sz w:val="16"/>
        </w:rPr>
      </w:pPr>
    </w:p>
    <w:p w14:paraId="645685EB" w14:textId="54D76759" w:rsidR="001F7544" w:rsidRDefault="001F7544">
      <w:pPr>
        <w:pBdr>
          <w:bottom w:val="single" w:sz="4" w:space="1" w:color="auto"/>
        </w:pBdr>
        <w:jc w:val="both"/>
        <w:rPr>
          <w:rFonts w:ascii="Times New Roman" w:hAnsi="Times New Roman"/>
          <w:sz w:val="16"/>
        </w:rPr>
      </w:pPr>
      <w:r w:rsidRPr="001F7544">
        <w:rPr>
          <w:noProof/>
          <w:lang w:val="en-CA" w:eastAsia="en-CA"/>
        </w:rPr>
        <w:drawing>
          <wp:anchor distT="0" distB="0" distL="114300" distR="114300" simplePos="0" relativeHeight="251682304" behindDoc="1" locked="0" layoutInCell="1" allowOverlap="1" wp14:anchorId="23BA1283" wp14:editId="75FD5474">
            <wp:simplePos x="0" y="0"/>
            <wp:positionH relativeFrom="page">
              <wp:align>left</wp:align>
            </wp:positionH>
            <wp:positionV relativeFrom="paragraph">
              <wp:posOffset>172085</wp:posOffset>
            </wp:positionV>
            <wp:extent cx="7753350" cy="2297798"/>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60802" cy="2300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C6402" w14:textId="54C997F5" w:rsidR="001F7544" w:rsidRDefault="001F7544">
      <w:pPr>
        <w:pBdr>
          <w:bottom w:val="single" w:sz="4" w:space="1" w:color="auto"/>
        </w:pBdr>
        <w:jc w:val="both"/>
        <w:rPr>
          <w:rFonts w:ascii="Times New Roman" w:hAnsi="Times New Roman"/>
          <w:sz w:val="16"/>
        </w:rPr>
      </w:pPr>
    </w:p>
    <w:p w14:paraId="01758030" w14:textId="2276A66C" w:rsidR="001F7544" w:rsidRDefault="001F7544">
      <w:pPr>
        <w:pBdr>
          <w:bottom w:val="single" w:sz="4" w:space="1" w:color="auto"/>
        </w:pBdr>
        <w:jc w:val="both"/>
        <w:rPr>
          <w:rFonts w:ascii="Times New Roman" w:hAnsi="Times New Roman"/>
          <w:sz w:val="16"/>
        </w:rPr>
      </w:pPr>
    </w:p>
    <w:p w14:paraId="13C374A7" w14:textId="3E2688C2" w:rsidR="001F7544" w:rsidRDefault="001F7544">
      <w:pPr>
        <w:pBdr>
          <w:bottom w:val="single" w:sz="4" w:space="1" w:color="auto"/>
        </w:pBdr>
        <w:jc w:val="both"/>
        <w:rPr>
          <w:rFonts w:ascii="Times New Roman" w:hAnsi="Times New Roman"/>
          <w:sz w:val="16"/>
        </w:rPr>
      </w:pPr>
    </w:p>
    <w:p w14:paraId="4C5EDB86" w14:textId="2FD9DFC3" w:rsidR="001F7544" w:rsidRDefault="001F7544">
      <w:pPr>
        <w:pBdr>
          <w:bottom w:val="single" w:sz="4" w:space="1" w:color="auto"/>
        </w:pBdr>
        <w:jc w:val="both"/>
        <w:rPr>
          <w:rFonts w:ascii="Times New Roman" w:hAnsi="Times New Roman"/>
          <w:sz w:val="16"/>
        </w:rPr>
      </w:pPr>
    </w:p>
    <w:p w14:paraId="6E187323" w14:textId="7A71C20F" w:rsidR="001F7544" w:rsidRDefault="001F7544">
      <w:pPr>
        <w:pBdr>
          <w:bottom w:val="single" w:sz="4" w:space="1" w:color="auto"/>
        </w:pBdr>
        <w:jc w:val="both"/>
        <w:rPr>
          <w:rFonts w:ascii="Times New Roman" w:hAnsi="Times New Roman"/>
          <w:sz w:val="16"/>
        </w:rPr>
      </w:pPr>
    </w:p>
    <w:p w14:paraId="3B060AF0" w14:textId="77777777" w:rsidR="001F7544" w:rsidRDefault="001F7544">
      <w:pPr>
        <w:pBdr>
          <w:bottom w:val="single" w:sz="4" w:space="1" w:color="auto"/>
        </w:pBdr>
        <w:jc w:val="both"/>
        <w:rPr>
          <w:rFonts w:ascii="Times New Roman" w:hAnsi="Times New Roman"/>
          <w:sz w:val="16"/>
        </w:rPr>
      </w:pPr>
    </w:p>
    <w:p w14:paraId="71DE7186" w14:textId="1DBF817F" w:rsidR="001F7544" w:rsidRDefault="001F7544">
      <w:pPr>
        <w:pBdr>
          <w:bottom w:val="single" w:sz="4" w:space="1" w:color="auto"/>
        </w:pBdr>
        <w:jc w:val="both"/>
        <w:rPr>
          <w:rFonts w:ascii="Times New Roman" w:hAnsi="Times New Roman"/>
          <w:sz w:val="16"/>
        </w:rPr>
      </w:pPr>
    </w:p>
    <w:p w14:paraId="7DB627CC" w14:textId="572A8B0B" w:rsidR="001F7544" w:rsidRDefault="001F7544">
      <w:pPr>
        <w:pBdr>
          <w:bottom w:val="single" w:sz="4" w:space="1" w:color="auto"/>
        </w:pBdr>
        <w:jc w:val="both"/>
        <w:rPr>
          <w:rFonts w:ascii="Times New Roman" w:hAnsi="Times New Roman"/>
          <w:sz w:val="16"/>
        </w:rPr>
      </w:pPr>
    </w:p>
    <w:p w14:paraId="24C16257" w14:textId="77777777" w:rsidR="001F7544" w:rsidRDefault="001F7544">
      <w:pPr>
        <w:pBdr>
          <w:bottom w:val="single" w:sz="4" w:space="1" w:color="auto"/>
        </w:pBdr>
        <w:jc w:val="both"/>
        <w:rPr>
          <w:rFonts w:ascii="Times New Roman" w:hAnsi="Times New Roman"/>
          <w:sz w:val="16"/>
        </w:rPr>
      </w:pPr>
    </w:p>
    <w:p w14:paraId="29E67CD9" w14:textId="77777777" w:rsidR="001F7544" w:rsidRDefault="001F7544">
      <w:pPr>
        <w:pBdr>
          <w:bottom w:val="single" w:sz="4" w:space="1" w:color="auto"/>
        </w:pBdr>
        <w:jc w:val="both"/>
        <w:rPr>
          <w:rFonts w:ascii="Times New Roman" w:hAnsi="Times New Roman"/>
          <w:sz w:val="16"/>
        </w:rPr>
      </w:pPr>
    </w:p>
    <w:p w14:paraId="0A505120" w14:textId="0C4BD293" w:rsidR="001F7544" w:rsidRDefault="001F7544">
      <w:pPr>
        <w:pBdr>
          <w:bottom w:val="single" w:sz="4" w:space="1" w:color="auto"/>
        </w:pBdr>
        <w:jc w:val="both"/>
        <w:rPr>
          <w:rFonts w:ascii="Times New Roman" w:hAnsi="Times New Roman"/>
          <w:sz w:val="16"/>
        </w:rPr>
      </w:pPr>
    </w:p>
    <w:p w14:paraId="4644E642" w14:textId="77777777" w:rsidR="001F7544" w:rsidRDefault="001F7544">
      <w:pPr>
        <w:pBdr>
          <w:bottom w:val="single" w:sz="4" w:space="1" w:color="auto"/>
        </w:pBdr>
        <w:jc w:val="both"/>
        <w:rPr>
          <w:rFonts w:ascii="Times New Roman" w:hAnsi="Times New Roman"/>
          <w:sz w:val="16"/>
        </w:rPr>
      </w:pPr>
    </w:p>
    <w:p w14:paraId="5C423D34" w14:textId="77777777" w:rsidR="001F7544" w:rsidRDefault="001F7544">
      <w:pPr>
        <w:pBdr>
          <w:bottom w:val="single" w:sz="4" w:space="1" w:color="auto"/>
        </w:pBdr>
        <w:jc w:val="both"/>
        <w:rPr>
          <w:rFonts w:ascii="Times New Roman" w:hAnsi="Times New Roman"/>
          <w:sz w:val="16"/>
        </w:rPr>
      </w:pPr>
    </w:p>
    <w:p w14:paraId="7432DBD0" w14:textId="2464F957" w:rsidR="001F7544" w:rsidRDefault="001F7544">
      <w:pPr>
        <w:pBdr>
          <w:bottom w:val="single" w:sz="4" w:space="1" w:color="auto"/>
        </w:pBdr>
        <w:jc w:val="both"/>
        <w:rPr>
          <w:rFonts w:ascii="Times New Roman" w:hAnsi="Times New Roman"/>
          <w:sz w:val="16"/>
        </w:rPr>
      </w:pPr>
    </w:p>
    <w:p w14:paraId="5E27B84A" w14:textId="77777777" w:rsidR="001F7544" w:rsidRDefault="001F7544">
      <w:pPr>
        <w:pBdr>
          <w:bottom w:val="single" w:sz="4" w:space="1" w:color="auto"/>
        </w:pBdr>
        <w:jc w:val="both"/>
        <w:rPr>
          <w:rFonts w:ascii="Times New Roman" w:hAnsi="Times New Roman"/>
          <w:sz w:val="16"/>
        </w:rPr>
      </w:pPr>
    </w:p>
    <w:p w14:paraId="34D5E74B" w14:textId="77777777" w:rsidR="001F7544" w:rsidRDefault="001F7544">
      <w:pPr>
        <w:pBdr>
          <w:bottom w:val="single" w:sz="4" w:space="1" w:color="auto"/>
        </w:pBdr>
        <w:jc w:val="both"/>
        <w:rPr>
          <w:rFonts w:ascii="Times New Roman" w:hAnsi="Times New Roman"/>
          <w:sz w:val="16"/>
        </w:rPr>
      </w:pPr>
    </w:p>
    <w:p w14:paraId="0D16FE1E" w14:textId="4C941111" w:rsidR="001F7544" w:rsidRDefault="001F7544">
      <w:pPr>
        <w:pBdr>
          <w:bottom w:val="single" w:sz="4" w:space="1" w:color="auto"/>
        </w:pBdr>
        <w:jc w:val="both"/>
        <w:rPr>
          <w:rFonts w:ascii="Times New Roman" w:hAnsi="Times New Roman"/>
          <w:sz w:val="16"/>
        </w:rPr>
      </w:pPr>
    </w:p>
    <w:p w14:paraId="5021C2B5" w14:textId="2772022A" w:rsidR="001F7544" w:rsidRDefault="001F7544">
      <w:pPr>
        <w:pBdr>
          <w:bottom w:val="single" w:sz="4" w:space="1" w:color="auto"/>
        </w:pBdr>
        <w:jc w:val="both"/>
        <w:rPr>
          <w:rFonts w:ascii="Times New Roman" w:hAnsi="Times New Roman"/>
          <w:sz w:val="16"/>
        </w:rPr>
      </w:pPr>
    </w:p>
    <w:p w14:paraId="3A376E80" w14:textId="2A31D977" w:rsidR="001F7544" w:rsidRDefault="001F7544">
      <w:pPr>
        <w:pBdr>
          <w:bottom w:val="single" w:sz="4" w:space="1" w:color="auto"/>
        </w:pBdr>
        <w:jc w:val="both"/>
        <w:rPr>
          <w:rFonts w:ascii="Times New Roman" w:hAnsi="Times New Roman"/>
          <w:sz w:val="16"/>
        </w:rPr>
      </w:pPr>
    </w:p>
    <w:p w14:paraId="7B96E8AE" w14:textId="5C3E4E51" w:rsidR="001F7544" w:rsidRDefault="001F7544">
      <w:pPr>
        <w:pBdr>
          <w:bottom w:val="single" w:sz="4" w:space="1" w:color="auto"/>
        </w:pBdr>
        <w:jc w:val="both"/>
        <w:rPr>
          <w:rFonts w:ascii="Times New Roman" w:hAnsi="Times New Roman"/>
          <w:sz w:val="16"/>
        </w:rPr>
      </w:pPr>
    </w:p>
    <w:p w14:paraId="676966A7" w14:textId="7F471DB3" w:rsidR="001F7544" w:rsidRDefault="001F7544">
      <w:pPr>
        <w:pBdr>
          <w:bottom w:val="single" w:sz="4" w:space="1" w:color="auto"/>
        </w:pBdr>
        <w:jc w:val="both"/>
        <w:rPr>
          <w:rFonts w:ascii="Times New Roman" w:hAnsi="Times New Roman"/>
          <w:sz w:val="16"/>
        </w:rPr>
      </w:pPr>
    </w:p>
    <w:p w14:paraId="5193EFDB" w14:textId="4F616E12" w:rsidR="001F7544" w:rsidRDefault="001F7544">
      <w:pPr>
        <w:pBdr>
          <w:bottom w:val="single" w:sz="4" w:space="1" w:color="auto"/>
        </w:pBdr>
        <w:jc w:val="both"/>
        <w:rPr>
          <w:rFonts w:ascii="Times New Roman" w:hAnsi="Times New Roman"/>
          <w:sz w:val="16"/>
        </w:rPr>
      </w:pPr>
    </w:p>
    <w:p w14:paraId="33658092" w14:textId="0FBDB464" w:rsidR="001F7544" w:rsidRPr="00B759AB" w:rsidRDefault="001F7544">
      <w:pPr>
        <w:pBdr>
          <w:bottom w:val="single" w:sz="4" w:space="1" w:color="auto"/>
        </w:pBdr>
        <w:jc w:val="both"/>
        <w:rPr>
          <w:rFonts w:ascii="Times New Roman" w:hAnsi="Times New Roman"/>
          <w:sz w:val="16"/>
          <w:u w:val="single"/>
        </w:rPr>
      </w:pPr>
    </w:p>
    <w:p w14:paraId="58023CFA" w14:textId="09F6EC82" w:rsidR="001F7544" w:rsidRPr="00B759AB" w:rsidRDefault="001F7544">
      <w:pPr>
        <w:pBdr>
          <w:bottom w:val="single" w:sz="4" w:space="1" w:color="auto"/>
        </w:pBdr>
        <w:jc w:val="both"/>
        <w:rPr>
          <w:rFonts w:ascii="Times New Roman" w:hAnsi="Times New Roman"/>
          <w:sz w:val="16"/>
          <w:u w:val="single"/>
        </w:rPr>
      </w:pPr>
    </w:p>
    <w:p w14:paraId="68EA17C9" w14:textId="60DBE41B" w:rsidR="001F7544" w:rsidRPr="00B759AB" w:rsidRDefault="00B759AB">
      <w:pPr>
        <w:pBdr>
          <w:bottom w:val="single" w:sz="4" w:space="1" w:color="auto"/>
        </w:pBdr>
        <w:jc w:val="both"/>
        <w:rPr>
          <w:rFonts w:ascii="Times New Roman" w:hAnsi="Times New Roman"/>
          <w:sz w:val="16"/>
          <w:u w:val="single"/>
        </w:rPr>
      </w:pPr>
      <w:r w:rsidRPr="001F7544">
        <w:rPr>
          <w:noProof/>
          <w:lang w:val="en-CA" w:eastAsia="en-CA"/>
        </w:rPr>
        <w:drawing>
          <wp:anchor distT="0" distB="0" distL="114300" distR="114300" simplePos="0" relativeHeight="251684352" behindDoc="1" locked="0" layoutInCell="1" allowOverlap="1" wp14:anchorId="6F0EBA19" wp14:editId="49CB10A6">
            <wp:simplePos x="0" y="0"/>
            <wp:positionH relativeFrom="page">
              <wp:posOffset>1031846</wp:posOffset>
            </wp:positionH>
            <wp:positionV relativeFrom="paragraph">
              <wp:posOffset>27571</wp:posOffset>
            </wp:positionV>
            <wp:extent cx="5896610" cy="2514600"/>
            <wp:effectExtent l="0" t="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9661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F7978" w14:textId="140D1966" w:rsidR="001F7544" w:rsidRDefault="001F7544">
      <w:pPr>
        <w:pBdr>
          <w:bottom w:val="single" w:sz="4" w:space="1" w:color="auto"/>
        </w:pBdr>
        <w:jc w:val="both"/>
        <w:rPr>
          <w:rFonts w:ascii="Times New Roman" w:hAnsi="Times New Roman"/>
          <w:sz w:val="16"/>
        </w:rPr>
      </w:pPr>
    </w:p>
    <w:p w14:paraId="3C03EFAC" w14:textId="6B0AAB7A" w:rsidR="001F7544" w:rsidRDefault="001F7544">
      <w:pPr>
        <w:pBdr>
          <w:bottom w:val="single" w:sz="4" w:space="1" w:color="auto"/>
        </w:pBdr>
        <w:jc w:val="both"/>
        <w:rPr>
          <w:rFonts w:ascii="Times New Roman" w:hAnsi="Times New Roman"/>
          <w:sz w:val="16"/>
        </w:rPr>
      </w:pPr>
    </w:p>
    <w:p w14:paraId="7E0E75B8" w14:textId="7EE799D3" w:rsidR="001F7544" w:rsidRDefault="001F7544">
      <w:pPr>
        <w:pBdr>
          <w:bottom w:val="single" w:sz="4" w:space="1" w:color="auto"/>
        </w:pBdr>
        <w:jc w:val="both"/>
        <w:rPr>
          <w:rFonts w:ascii="Times New Roman" w:hAnsi="Times New Roman"/>
          <w:sz w:val="16"/>
        </w:rPr>
      </w:pPr>
    </w:p>
    <w:p w14:paraId="0BC704B0" w14:textId="2B97EE3D" w:rsidR="001F7544" w:rsidRDefault="001F7544">
      <w:pPr>
        <w:pBdr>
          <w:bottom w:val="single" w:sz="4" w:space="1" w:color="auto"/>
        </w:pBdr>
        <w:jc w:val="both"/>
        <w:rPr>
          <w:rFonts w:ascii="Times New Roman" w:hAnsi="Times New Roman"/>
          <w:sz w:val="16"/>
        </w:rPr>
      </w:pPr>
    </w:p>
    <w:p w14:paraId="6D0B9CB1" w14:textId="2C1D755C" w:rsidR="001F7544" w:rsidRDefault="001F7544">
      <w:pPr>
        <w:pBdr>
          <w:bottom w:val="single" w:sz="4" w:space="1" w:color="auto"/>
        </w:pBdr>
        <w:jc w:val="both"/>
        <w:rPr>
          <w:rFonts w:ascii="Times New Roman" w:hAnsi="Times New Roman"/>
          <w:sz w:val="16"/>
        </w:rPr>
      </w:pPr>
    </w:p>
    <w:p w14:paraId="71871A73" w14:textId="5289ADCA" w:rsidR="001F7544" w:rsidRDefault="001F7544">
      <w:pPr>
        <w:pBdr>
          <w:bottom w:val="single" w:sz="4" w:space="1" w:color="auto"/>
        </w:pBdr>
        <w:jc w:val="both"/>
        <w:rPr>
          <w:rFonts w:ascii="Times New Roman" w:hAnsi="Times New Roman"/>
          <w:sz w:val="16"/>
        </w:rPr>
      </w:pPr>
    </w:p>
    <w:p w14:paraId="670E9A32" w14:textId="7FB80D07" w:rsidR="001F7544" w:rsidRDefault="001F7544">
      <w:pPr>
        <w:pBdr>
          <w:bottom w:val="single" w:sz="4" w:space="1" w:color="auto"/>
        </w:pBdr>
        <w:jc w:val="both"/>
        <w:rPr>
          <w:rFonts w:ascii="Times New Roman" w:hAnsi="Times New Roman"/>
          <w:sz w:val="16"/>
        </w:rPr>
      </w:pPr>
    </w:p>
    <w:p w14:paraId="363E6A13" w14:textId="2FFF3CD0" w:rsidR="001F7544" w:rsidRDefault="001F7544">
      <w:pPr>
        <w:pBdr>
          <w:bottom w:val="single" w:sz="4" w:space="1" w:color="auto"/>
        </w:pBdr>
        <w:jc w:val="both"/>
        <w:rPr>
          <w:rFonts w:ascii="Times New Roman" w:hAnsi="Times New Roman"/>
          <w:sz w:val="16"/>
        </w:rPr>
      </w:pPr>
    </w:p>
    <w:p w14:paraId="137822B0" w14:textId="70D5ECA8" w:rsidR="001F7544" w:rsidRDefault="001F7544">
      <w:pPr>
        <w:pBdr>
          <w:bottom w:val="single" w:sz="4" w:space="1" w:color="auto"/>
        </w:pBdr>
        <w:jc w:val="both"/>
        <w:rPr>
          <w:rFonts w:ascii="Times New Roman" w:hAnsi="Times New Roman"/>
          <w:sz w:val="16"/>
        </w:rPr>
      </w:pPr>
    </w:p>
    <w:p w14:paraId="02D76DDE" w14:textId="11D375B4" w:rsidR="001F7544" w:rsidRDefault="001F7544">
      <w:pPr>
        <w:pBdr>
          <w:bottom w:val="single" w:sz="4" w:space="1" w:color="auto"/>
        </w:pBdr>
        <w:jc w:val="both"/>
        <w:rPr>
          <w:rFonts w:ascii="Times New Roman" w:hAnsi="Times New Roman"/>
          <w:sz w:val="16"/>
        </w:rPr>
      </w:pPr>
    </w:p>
    <w:p w14:paraId="1D9E8C68" w14:textId="77777777" w:rsidR="001F7544" w:rsidRDefault="001F7544">
      <w:pPr>
        <w:pBdr>
          <w:bottom w:val="single" w:sz="4" w:space="1" w:color="auto"/>
        </w:pBdr>
        <w:jc w:val="both"/>
        <w:rPr>
          <w:rFonts w:ascii="Times New Roman" w:hAnsi="Times New Roman"/>
          <w:sz w:val="16"/>
        </w:rPr>
      </w:pPr>
    </w:p>
    <w:p w14:paraId="667D3272" w14:textId="725A90F7" w:rsidR="001F7544" w:rsidRDefault="001F7544">
      <w:pPr>
        <w:pBdr>
          <w:bottom w:val="single" w:sz="4" w:space="1" w:color="auto"/>
        </w:pBdr>
        <w:jc w:val="both"/>
        <w:rPr>
          <w:rFonts w:ascii="Times New Roman" w:hAnsi="Times New Roman"/>
          <w:sz w:val="16"/>
        </w:rPr>
      </w:pPr>
    </w:p>
    <w:p w14:paraId="6C0526E3" w14:textId="77777777" w:rsidR="001F7544" w:rsidRDefault="001F7544">
      <w:pPr>
        <w:pBdr>
          <w:bottom w:val="single" w:sz="4" w:space="1" w:color="auto"/>
        </w:pBdr>
        <w:jc w:val="both"/>
        <w:rPr>
          <w:rFonts w:ascii="Times New Roman" w:hAnsi="Times New Roman"/>
          <w:sz w:val="16"/>
        </w:rPr>
      </w:pPr>
    </w:p>
    <w:p w14:paraId="1CB1CCC0" w14:textId="3F05CDD3" w:rsidR="001F7544" w:rsidRDefault="001F7544">
      <w:pPr>
        <w:pBdr>
          <w:bottom w:val="single" w:sz="4" w:space="1" w:color="auto"/>
        </w:pBdr>
        <w:jc w:val="both"/>
        <w:rPr>
          <w:rFonts w:ascii="Times New Roman" w:hAnsi="Times New Roman"/>
          <w:sz w:val="16"/>
        </w:rPr>
      </w:pPr>
    </w:p>
    <w:p w14:paraId="52A0659E" w14:textId="47F334A2" w:rsidR="001F7544" w:rsidRDefault="001F7544">
      <w:pPr>
        <w:pBdr>
          <w:bottom w:val="single" w:sz="4" w:space="1" w:color="auto"/>
        </w:pBdr>
        <w:jc w:val="both"/>
        <w:rPr>
          <w:rFonts w:ascii="Times New Roman" w:hAnsi="Times New Roman"/>
          <w:sz w:val="16"/>
        </w:rPr>
      </w:pPr>
    </w:p>
    <w:p w14:paraId="461F7E85" w14:textId="5EEACAA5" w:rsidR="001F7544" w:rsidRDefault="001F7544">
      <w:pPr>
        <w:pBdr>
          <w:bottom w:val="single" w:sz="4" w:space="1" w:color="auto"/>
        </w:pBdr>
        <w:jc w:val="both"/>
        <w:rPr>
          <w:rFonts w:ascii="Times New Roman" w:hAnsi="Times New Roman"/>
          <w:sz w:val="16"/>
        </w:rPr>
      </w:pPr>
    </w:p>
    <w:p w14:paraId="414581F1" w14:textId="0A57AECA" w:rsidR="001F7544" w:rsidRDefault="001F7544">
      <w:pPr>
        <w:pBdr>
          <w:bottom w:val="single" w:sz="4" w:space="1" w:color="auto"/>
        </w:pBdr>
        <w:jc w:val="both"/>
        <w:rPr>
          <w:rFonts w:ascii="Times New Roman" w:hAnsi="Times New Roman"/>
          <w:sz w:val="16"/>
        </w:rPr>
      </w:pPr>
    </w:p>
    <w:p w14:paraId="2296DB49" w14:textId="212F5D93" w:rsidR="001F7544" w:rsidRDefault="001F7544">
      <w:pPr>
        <w:pBdr>
          <w:bottom w:val="single" w:sz="4" w:space="1" w:color="auto"/>
        </w:pBdr>
        <w:jc w:val="both"/>
        <w:rPr>
          <w:rFonts w:ascii="Times New Roman" w:hAnsi="Times New Roman"/>
          <w:sz w:val="16"/>
        </w:rPr>
      </w:pPr>
    </w:p>
    <w:p w14:paraId="1067461B" w14:textId="7E6D223D" w:rsidR="001F7544" w:rsidRDefault="001F7544">
      <w:pPr>
        <w:pBdr>
          <w:bottom w:val="single" w:sz="4" w:space="1" w:color="auto"/>
        </w:pBdr>
        <w:jc w:val="both"/>
        <w:rPr>
          <w:rFonts w:ascii="Times New Roman" w:hAnsi="Times New Roman"/>
          <w:sz w:val="16"/>
        </w:rPr>
      </w:pPr>
    </w:p>
    <w:p w14:paraId="64F93154" w14:textId="77777777" w:rsidR="001F7544" w:rsidRDefault="001F7544">
      <w:pPr>
        <w:pBdr>
          <w:bottom w:val="single" w:sz="4" w:space="1" w:color="auto"/>
        </w:pBdr>
        <w:jc w:val="both"/>
        <w:rPr>
          <w:rFonts w:ascii="Times New Roman" w:hAnsi="Times New Roman"/>
          <w:sz w:val="16"/>
        </w:rPr>
      </w:pPr>
    </w:p>
    <w:p w14:paraId="46E65435" w14:textId="77777777" w:rsidR="001F7544" w:rsidRDefault="001F7544">
      <w:pPr>
        <w:pBdr>
          <w:bottom w:val="single" w:sz="4" w:space="1" w:color="auto"/>
        </w:pBdr>
        <w:jc w:val="both"/>
        <w:rPr>
          <w:rFonts w:ascii="Times New Roman" w:hAnsi="Times New Roman"/>
          <w:sz w:val="16"/>
        </w:rPr>
      </w:pPr>
    </w:p>
    <w:p w14:paraId="0D39564A" w14:textId="77777777" w:rsidR="001F7544" w:rsidRDefault="001F7544">
      <w:pPr>
        <w:pBdr>
          <w:bottom w:val="single" w:sz="4" w:space="1" w:color="auto"/>
        </w:pBdr>
        <w:jc w:val="both"/>
        <w:rPr>
          <w:rFonts w:ascii="Times New Roman" w:hAnsi="Times New Roman"/>
          <w:sz w:val="16"/>
        </w:rPr>
      </w:pPr>
    </w:p>
    <w:p w14:paraId="6BB010F9" w14:textId="77777777" w:rsidR="001F7544" w:rsidRDefault="001F7544">
      <w:pPr>
        <w:pBdr>
          <w:bottom w:val="single" w:sz="4" w:space="1" w:color="auto"/>
        </w:pBdr>
        <w:jc w:val="both"/>
        <w:rPr>
          <w:rFonts w:ascii="Times New Roman" w:hAnsi="Times New Roman"/>
          <w:sz w:val="16"/>
        </w:rPr>
      </w:pPr>
    </w:p>
    <w:p w14:paraId="698DC445" w14:textId="77777777" w:rsidR="00BD37FA" w:rsidRDefault="00BD37FA">
      <w:pPr>
        <w:pBdr>
          <w:bottom w:val="single" w:sz="4" w:space="1" w:color="auto"/>
        </w:pBdr>
        <w:jc w:val="both"/>
        <w:rPr>
          <w:noProof/>
          <w:lang w:val="en-CA" w:eastAsia="zh-CN"/>
        </w:rPr>
      </w:pPr>
    </w:p>
    <w:p w14:paraId="7EAF8C77" w14:textId="77777777" w:rsidR="00BD37FA" w:rsidRDefault="00BD37FA">
      <w:pPr>
        <w:pBdr>
          <w:bottom w:val="single" w:sz="4" w:space="1" w:color="auto"/>
        </w:pBdr>
        <w:jc w:val="both"/>
        <w:rPr>
          <w:noProof/>
          <w:lang w:val="en-CA" w:eastAsia="zh-CN"/>
        </w:rPr>
      </w:pPr>
    </w:p>
    <w:p w14:paraId="2FACA5AC" w14:textId="77777777" w:rsidR="00BD37FA" w:rsidRDefault="00BD37FA">
      <w:pPr>
        <w:pBdr>
          <w:bottom w:val="single" w:sz="4" w:space="1" w:color="auto"/>
        </w:pBdr>
        <w:jc w:val="both"/>
        <w:rPr>
          <w:noProof/>
          <w:lang w:val="en-CA" w:eastAsia="zh-CN"/>
        </w:rPr>
      </w:pPr>
    </w:p>
    <w:p w14:paraId="5AD49D02" w14:textId="6A3140AE" w:rsidR="00BD37FA" w:rsidRDefault="003A69E9">
      <w:pPr>
        <w:pBdr>
          <w:bottom w:val="single" w:sz="4" w:space="1" w:color="auto"/>
        </w:pBdr>
        <w:jc w:val="both"/>
        <w:rPr>
          <w:noProof/>
          <w:lang w:val="en-CA" w:eastAsia="zh-CN"/>
        </w:rPr>
      </w:pPr>
      <w:r w:rsidRPr="00154750">
        <w:rPr>
          <w:rFonts w:ascii="Times New Roman" w:hAnsi="Times New Roman"/>
          <w:b/>
          <w:sz w:val="24"/>
        </w:rPr>
        <w:t xml:space="preserve">Appendix </w:t>
      </w:r>
      <w:r>
        <w:rPr>
          <w:rFonts w:ascii="Times New Roman" w:hAnsi="Times New Roman"/>
          <w:b/>
          <w:sz w:val="24"/>
        </w:rPr>
        <w:t>5:</w:t>
      </w:r>
    </w:p>
    <w:p w14:paraId="63FDEBA4" w14:textId="5B96091D" w:rsidR="00BD37FA" w:rsidRDefault="00BD37FA">
      <w:pPr>
        <w:pBdr>
          <w:bottom w:val="single" w:sz="4" w:space="1" w:color="auto"/>
        </w:pBdr>
        <w:jc w:val="both"/>
        <w:rPr>
          <w:noProof/>
          <w:lang w:val="en-CA" w:eastAsia="zh-CN"/>
        </w:rPr>
      </w:pPr>
      <w:r w:rsidRPr="00BD37FA">
        <w:rPr>
          <w:noProof/>
          <w:lang w:val="en-CA" w:eastAsia="en-CA"/>
        </w:rPr>
        <w:drawing>
          <wp:anchor distT="0" distB="0" distL="114300" distR="114300" simplePos="0" relativeHeight="251687424" behindDoc="0" locked="0" layoutInCell="1" allowOverlap="1" wp14:anchorId="603A9640" wp14:editId="5293A23A">
            <wp:simplePos x="0" y="0"/>
            <wp:positionH relativeFrom="column">
              <wp:posOffset>-649389</wp:posOffset>
            </wp:positionH>
            <wp:positionV relativeFrom="paragraph">
              <wp:posOffset>130522</wp:posOffset>
            </wp:positionV>
            <wp:extent cx="7712015" cy="4553552"/>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28608" cy="4563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45E153" w14:textId="2D742401" w:rsidR="00BD37FA" w:rsidRDefault="00BD37FA">
      <w:pPr>
        <w:pBdr>
          <w:bottom w:val="single" w:sz="4" w:space="1" w:color="auto"/>
        </w:pBdr>
        <w:jc w:val="both"/>
        <w:rPr>
          <w:noProof/>
          <w:lang w:val="en-CA" w:eastAsia="zh-CN"/>
        </w:rPr>
      </w:pPr>
    </w:p>
    <w:p w14:paraId="56E1F276" w14:textId="77777777" w:rsidR="00BD37FA" w:rsidRDefault="00BD37FA">
      <w:pPr>
        <w:pBdr>
          <w:bottom w:val="single" w:sz="4" w:space="1" w:color="auto"/>
        </w:pBdr>
        <w:jc w:val="both"/>
        <w:rPr>
          <w:noProof/>
          <w:lang w:val="en-CA" w:eastAsia="zh-CN"/>
        </w:rPr>
      </w:pPr>
    </w:p>
    <w:p w14:paraId="351F7362" w14:textId="77777777" w:rsidR="00BD37FA" w:rsidRDefault="00BD37FA">
      <w:pPr>
        <w:pBdr>
          <w:bottom w:val="single" w:sz="4" w:space="1" w:color="auto"/>
        </w:pBdr>
        <w:jc w:val="both"/>
        <w:rPr>
          <w:noProof/>
          <w:lang w:val="en-CA" w:eastAsia="zh-CN"/>
        </w:rPr>
      </w:pPr>
    </w:p>
    <w:p w14:paraId="129A3A44" w14:textId="77777777" w:rsidR="00BD37FA" w:rsidRDefault="00BD37FA">
      <w:pPr>
        <w:pBdr>
          <w:bottom w:val="single" w:sz="4" w:space="1" w:color="auto"/>
        </w:pBdr>
        <w:jc w:val="both"/>
        <w:rPr>
          <w:noProof/>
          <w:lang w:val="en-CA" w:eastAsia="zh-CN"/>
        </w:rPr>
      </w:pPr>
    </w:p>
    <w:p w14:paraId="41B9F701" w14:textId="77777777" w:rsidR="00BD37FA" w:rsidRDefault="00BD37FA">
      <w:pPr>
        <w:pBdr>
          <w:bottom w:val="single" w:sz="4" w:space="1" w:color="auto"/>
        </w:pBdr>
        <w:jc w:val="both"/>
        <w:rPr>
          <w:noProof/>
          <w:lang w:val="en-CA" w:eastAsia="zh-CN"/>
        </w:rPr>
      </w:pPr>
    </w:p>
    <w:p w14:paraId="1645B2F7" w14:textId="77777777" w:rsidR="00BD37FA" w:rsidRDefault="00BD37FA">
      <w:pPr>
        <w:pBdr>
          <w:bottom w:val="single" w:sz="4" w:space="1" w:color="auto"/>
        </w:pBdr>
        <w:jc w:val="both"/>
        <w:rPr>
          <w:noProof/>
          <w:lang w:val="en-CA" w:eastAsia="zh-CN"/>
        </w:rPr>
      </w:pPr>
    </w:p>
    <w:p w14:paraId="0AEF59CB" w14:textId="77777777" w:rsidR="00BD37FA" w:rsidRDefault="00BD37FA">
      <w:pPr>
        <w:pBdr>
          <w:bottom w:val="single" w:sz="4" w:space="1" w:color="auto"/>
        </w:pBdr>
        <w:jc w:val="both"/>
        <w:rPr>
          <w:noProof/>
          <w:lang w:val="en-CA" w:eastAsia="zh-CN"/>
        </w:rPr>
      </w:pPr>
    </w:p>
    <w:p w14:paraId="1B546CBB" w14:textId="77777777" w:rsidR="00BD37FA" w:rsidRDefault="00BD37FA">
      <w:pPr>
        <w:pBdr>
          <w:bottom w:val="single" w:sz="4" w:space="1" w:color="auto"/>
        </w:pBdr>
        <w:jc w:val="both"/>
        <w:rPr>
          <w:noProof/>
          <w:lang w:val="en-CA" w:eastAsia="zh-CN"/>
        </w:rPr>
      </w:pPr>
    </w:p>
    <w:p w14:paraId="10DC0D51" w14:textId="77777777" w:rsidR="00BD37FA" w:rsidRDefault="00BD37FA">
      <w:pPr>
        <w:pBdr>
          <w:bottom w:val="single" w:sz="4" w:space="1" w:color="auto"/>
        </w:pBdr>
        <w:jc w:val="both"/>
        <w:rPr>
          <w:noProof/>
          <w:lang w:val="en-CA" w:eastAsia="zh-CN"/>
        </w:rPr>
      </w:pPr>
    </w:p>
    <w:p w14:paraId="64F7858F" w14:textId="77777777" w:rsidR="00BD37FA" w:rsidRDefault="00BD37FA">
      <w:pPr>
        <w:pBdr>
          <w:bottom w:val="single" w:sz="4" w:space="1" w:color="auto"/>
        </w:pBdr>
        <w:jc w:val="both"/>
        <w:rPr>
          <w:noProof/>
          <w:lang w:val="en-CA" w:eastAsia="zh-CN"/>
        </w:rPr>
      </w:pPr>
    </w:p>
    <w:p w14:paraId="06CBB471" w14:textId="77777777" w:rsidR="00BD37FA" w:rsidRDefault="00BD37FA">
      <w:pPr>
        <w:pBdr>
          <w:bottom w:val="single" w:sz="4" w:space="1" w:color="auto"/>
        </w:pBdr>
        <w:jc w:val="both"/>
        <w:rPr>
          <w:noProof/>
          <w:lang w:val="en-CA" w:eastAsia="zh-CN"/>
        </w:rPr>
      </w:pPr>
    </w:p>
    <w:p w14:paraId="4FD5FF55" w14:textId="77777777" w:rsidR="00BD37FA" w:rsidRDefault="00BD37FA">
      <w:pPr>
        <w:pBdr>
          <w:bottom w:val="single" w:sz="4" w:space="1" w:color="auto"/>
        </w:pBdr>
        <w:jc w:val="both"/>
        <w:rPr>
          <w:noProof/>
          <w:lang w:val="en-CA" w:eastAsia="zh-CN"/>
        </w:rPr>
      </w:pPr>
    </w:p>
    <w:p w14:paraId="5FB14721" w14:textId="77777777" w:rsidR="00BD37FA" w:rsidRDefault="00BD37FA">
      <w:pPr>
        <w:pBdr>
          <w:bottom w:val="single" w:sz="4" w:space="1" w:color="auto"/>
        </w:pBdr>
        <w:jc w:val="both"/>
        <w:rPr>
          <w:noProof/>
          <w:lang w:val="en-CA" w:eastAsia="zh-CN"/>
        </w:rPr>
      </w:pPr>
    </w:p>
    <w:p w14:paraId="2F02A25E" w14:textId="77777777" w:rsidR="00BD37FA" w:rsidRDefault="00BD37FA">
      <w:pPr>
        <w:pBdr>
          <w:bottom w:val="single" w:sz="4" w:space="1" w:color="auto"/>
        </w:pBdr>
        <w:jc w:val="both"/>
        <w:rPr>
          <w:noProof/>
          <w:lang w:val="en-CA" w:eastAsia="zh-CN"/>
        </w:rPr>
      </w:pPr>
    </w:p>
    <w:p w14:paraId="131BC0C6" w14:textId="77777777" w:rsidR="00BD37FA" w:rsidRDefault="00BD37FA">
      <w:pPr>
        <w:pBdr>
          <w:bottom w:val="single" w:sz="4" w:space="1" w:color="auto"/>
        </w:pBdr>
        <w:jc w:val="both"/>
        <w:rPr>
          <w:noProof/>
          <w:lang w:val="en-CA" w:eastAsia="zh-CN"/>
        </w:rPr>
      </w:pPr>
    </w:p>
    <w:p w14:paraId="2ABF307E" w14:textId="77777777" w:rsidR="00BD37FA" w:rsidRDefault="00BD37FA">
      <w:pPr>
        <w:pBdr>
          <w:bottom w:val="single" w:sz="4" w:space="1" w:color="auto"/>
        </w:pBdr>
        <w:jc w:val="both"/>
        <w:rPr>
          <w:noProof/>
          <w:lang w:val="en-CA" w:eastAsia="zh-CN"/>
        </w:rPr>
      </w:pPr>
    </w:p>
    <w:p w14:paraId="03B40CF9" w14:textId="77777777" w:rsidR="00BD37FA" w:rsidRDefault="00BD37FA">
      <w:pPr>
        <w:pBdr>
          <w:bottom w:val="single" w:sz="4" w:space="1" w:color="auto"/>
        </w:pBdr>
        <w:jc w:val="both"/>
        <w:rPr>
          <w:noProof/>
          <w:lang w:val="en-CA" w:eastAsia="zh-CN"/>
        </w:rPr>
      </w:pPr>
    </w:p>
    <w:p w14:paraId="2D624C9A" w14:textId="77777777" w:rsidR="00BD37FA" w:rsidRDefault="00BD37FA">
      <w:pPr>
        <w:pBdr>
          <w:bottom w:val="single" w:sz="4" w:space="1" w:color="auto"/>
        </w:pBdr>
        <w:jc w:val="both"/>
        <w:rPr>
          <w:noProof/>
          <w:lang w:val="en-CA" w:eastAsia="zh-CN"/>
        </w:rPr>
      </w:pPr>
    </w:p>
    <w:p w14:paraId="2F2186DD" w14:textId="77777777" w:rsidR="00BD37FA" w:rsidRDefault="00BD37FA">
      <w:pPr>
        <w:pBdr>
          <w:bottom w:val="single" w:sz="4" w:space="1" w:color="auto"/>
        </w:pBdr>
        <w:jc w:val="both"/>
        <w:rPr>
          <w:noProof/>
          <w:lang w:val="en-CA" w:eastAsia="zh-CN"/>
        </w:rPr>
      </w:pPr>
    </w:p>
    <w:p w14:paraId="343F9ABC" w14:textId="77777777" w:rsidR="00BD37FA" w:rsidRDefault="00BD37FA">
      <w:pPr>
        <w:pBdr>
          <w:bottom w:val="single" w:sz="4" w:space="1" w:color="auto"/>
        </w:pBdr>
        <w:jc w:val="both"/>
        <w:rPr>
          <w:noProof/>
          <w:lang w:val="en-CA" w:eastAsia="zh-CN"/>
        </w:rPr>
      </w:pPr>
    </w:p>
    <w:p w14:paraId="071FFEF5" w14:textId="77777777" w:rsidR="00BD37FA" w:rsidRDefault="00BD37FA">
      <w:pPr>
        <w:pBdr>
          <w:bottom w:val="single" w:sz="4" w:space="1" w:color="auto"/>
        </w:pBdr>
        <w:jc w:val="both"/>
        <w:rPr>
          <w:noProof/>
          <w:lang w:val="en-CA" w:eastAsia="zh-CN"/>
        </w:rPr>
      </w:pPr>
    </w:p>
    <w:p w14:paraId="7184BC9E" w14:textId="77777777" w:rsidR="00BD37FA" w:rsidRDefault="00BD37FA">
      <w:pPr>
        <w:pBdr>
          <w:bottom w:val="single" w:sz="4" w:space="1" w:color="auto"/>
        </w:pBdr>
        <w:jc w:val="both"/>
        <w:rPr>
          <w:noProof/>
          <w:lang w:val="en-CA" w:eastAsia="zh-CN"/>
        </w:rPr>
      </w:pPr>
    </w:p>
    <w:p w14:paraId="0C44DB68" w14:textId="77777777" w:rsidR="00BD37FA" w:rsidRDefault="00BD37FA">
      <w:pPr>
        <w:pBdr>
          <w:bottom w:val="single" w:sz="4" w:space="1" w:color="auto"/>
        </w:pBdr>
        <w:jc w:val="both"/>
        <w:rPr>
          <w:noProof/>
          <w:lang w:val="en-CA" w:eastAsia="zh-CN"/>
        </w:rPr>
      </w:pPr>
    </w:p>
    <w:p w14:paraId="48A1EEBC" w14:textId="77777777" w:rsidR="00BD37FA" w:rsidRDefault="00BD37FA">
      <w:pPr>
        <w:pBdr>
          <w:bottom w:val="single" w:sz="4" w:space="1" w:color="auto"/>
        </w:pBdr>
        <w:jc w:val="both"/>
        <w:rPr>
          <w:noProof/>
          <w:lang w:val="en-CA" w:eastAsia="zh-CN"/>
        </w:rPr>
      </w:pPr>
    </w:p>
    <w:p w14:paraId="075086DB" w14:textId="77777777" w:rsidR="00BD37FA" w:rsidRDefault="00BD37FA">
      <w:pPr>
        <w:pBdr>
          <w:bottom w:val="single" w:sz="4" w:space="1" w:color="auto"/>
        </w:pBdr>
        <w:jc w:val="both"/>
        <w:rPr>
          <w:noProof/>
          <w:lang w:val="en-CA" w:eastAsia="zh-CN"/>
        </w:rPr>
      </w:pPr>
    </w:p>
    <w:p w14:paraId="375229E5" w14:textId="77777777" w:rsidR="00BD37FA" w:rsidRDefault="00BD37FA">
      <w:pPr>
        <w:pBdr>
          <w:bottom w:val="single" w:sz="4" w:space="1" w:color="auto"/>
        </w:pBdr>
        <w:jc w:val="both"/>
        <w:rPr>
          <w:noProof/>
          <w:lang w:val="en-CA" w:eastAsia="zh-CN"/>
        </w:rPr>
      </w:pPr>
    </w:p>
    <w:p w14:paraId="661E01B8" w14:textId="77777777" w:rsidR="00BD37FA" w:rsidRDefault="00BD37FA">
      <w:pPr>
        <w:pBdr>
          <w:bottom w:val="single" w:sz="4" w:space="1" w:color="auto"/>
        </w:pBdr>
        <w:jc w:val="both"/>
        <w:rPr>
          <w:noProof/>
          <w:lang w:val="en-CA" w:eastAsia="zh-CN"/>
        </w:rPr>
      </w:pPr>
    </w:p>
    <w:p w14:paraId="2834CD48" w14:textId="77777777" w:rsidR="00BD37FA" w:rsidRDefault="00BD37FA">
      <w:pPr>
        <w:pBdr>
          <w:bottom w:val="single" w:sz="4" w:space="1" w:color="auto"/>
        </w:pBdr>
        <w:jc w:val="both"/>
        <w:rPr>
          <w:noProof/>
          <w:lang w:val="en-CA" w:eastAsia="zh-CN"/>
        </w:rPr>
      </w:pPr>
    </w:p>
    <w:p w14:paraId="0CB40A0B" w14:textId="77777777" w:rsidR="00BD37FA" w:rsidRDefault="00BD37FA">
      <w:pPr>
        <w:pBdr>
          <w:bottom w:val="single" w:sz="4" w:space="1" w:color="auto"/>
        </w:pBdr>
        <w:jc w:val="both"/>
        <w:rPr>
          <w:noProof/>
          <w:lang w:val="en-CA" w:eastAsia="zh-CN"/>
        </w:rPr>
      </w:pPr>
    </w:p>
    <w:p w14:paraId="71F1F506" w14:textId="77777777" w:rsidR="00BD37FA" w:rsidRDefault="00BD37FA">
      <w:pPr>
        <w:pBdr>
          <w:bottom w:val="single" w:sz="4" w:space="1" w:color="auto"/>
        </w:pBdr>
        <w:jc w:val="both"/>
        <w:rPr>
          <w:noProof/>
          <w:lang w:val="en-CA" w:eastAsia="zh-CN"/>
        </w:rPr>
      </w:pPr>
    </w:p>
    <w:p w14:paraId="6A51EDC0" w14:textId="77777777" w:rsidR="00BD37FA" w:rsidRDefault="00BD37FA">
      <w:pPr>
        <w:pBdr>
          <w:bottom w:val="single" w:sz="4" w:space="1" w:color="auto"/>
        </w:pBdr>
        <w:jc w:val="both"/>
        <w:rPr>
          <w:noProof/>
          <w:lang w:val="en-CA" w:eastAsia="zh-CN"/>
        </w:rPr>
      </w:pPr>
    </w:p>
    <w:p w14:paraId="641AC147" w14:textId="77777777" w:rsidR="00BD37FA" w:rsidRDefault="00BD37FA">
      <w:pPr>
        <w:pBdr>
          <w:bottom w:val="single" w:sz="4" w:space="1" w:color="auto"/>
        </w:pBdr>
        <w:jc w:val="both"/>
        <w:rPr>
          <w:noProof/>
          <w:lang w:val="en-CA" w:eastAsia="zh-CN"/>
        </w:rPr>
      </w:pPr>
    </w:p>
    <w:p w14:paraId="7175BB86" w14:textId="77777777" w:rsidR="00BD37FA" w:rsidRDefault="00BD37FA">
      <w:pPr>
        <w:pBdr>
          <w:bottom w:val="single" w:sz="4" w:space="1" w:color="auto"/>
        </w:pBdr>
        <w:jc w:val="both"/>
        <w:rPr>
          <w:noProof/>
          <w:lang w:val="en-CA" w:eastAsia="zh-CN"/>
        </w:rPr>
      </w:pPr>
    </w:p>
    <w:p w14:paraId="4CA7F1C0" w14:textId="77777777" w:rsidR="00BD37FA" w:rsidRDefault="00BD37FA">
      <w:pPr>
        <w:pBdr>
          <w:bottom w:val="single" w:sz="4" w:space="1" w:color="auto"/>
        </w:pBdr>
        <w:jc w:val="both"/>
        <w:rPr>
          <w:noProof/>
          <w:lang w:val="en-CA" w:eastAsia="zh-CN"/>
        </w:rPr>
      </w:pPr>
    </w:p>
    <w:p w14:paraId="61F22625" w14:textId="77777777" w:rsidR="00BD37FA" w:rsidRDefault="00BD37FA">
      <w:pPr>
        <w:pBdr>
          <w:bottom w:val="single" w:sz="4" w:space="1" w:color="auto"/>
        </w:pBdr>
        <w:jc w:val="both"/>
        <w:rPr>
          <w:noProof/>
          <w:lang w:val="en-CA" w:eastAsia="zh-CN"/>
        </w:rPr>
      </w:pPr>
    </w:p>
    <w:p w14:paraId="21AE39A7" w14:textId="77777777" w:rsidR="00BD37FA" w:rsidRDefault="00BD37FA">
      <w:pPr>
        <w:pBdr>
          <w:bottom w:val="single" w:sz="4" w:space="1" w:color="auto"/>
        </w:pBdr>
        <w:jc w:val="both"/>
        <w:rPr>
          <w:noProof/>
          <w:lang w:val="en-CA" w:eastAsia="zh-CN"/>
        </w:rPr>
      </w:pPr>
    </w:p>
    <w:p w14:paraId="33E677D6" w14:textId="77777777" w:rsidR="00BD37FA" w:rsidRDefault="00BD37FA">
      <w:pPr>
        <w:pBdr>
          <w:bottom w:val="single" w:sz="4" w:space="1" w:color="auto"/>
        </w:pBdr>
        <w:jc w:val="both"/>
        <w:rPr>
          <w:noProof/>
          <w:lang w:val="en-CA" w:eastAsia="zh-CN"/>
        </w:rPr>
      </w:pPr>
    </w:p>
    <w:p w14:paraId="2B90211D" w14:textId="77777777" w:rsidR="00BD37FA" w:rsidRDefault="00BD37FA">
      <w:pPr>
        <w:pBdr>
          <w:bottom w:val="single" w:sz="4" w:space="1" w:color="auto"/>
        </w:pBdr>
        <w:jc w:val="both"/>
        <w:rPr>
          <w:noProof/>
          <w:lang w:val="en-CA" w:eastAsia="zh-CN"/>
        </w:rPr>
      </w:pPr>
    </w:p>
    <w:p w14:paraId="53531D3E" w14:textId="77777777" w:rsidR="00BD37FA" w:rsidRDefault="00BD37FA">
      <w:pPr>
        <w:pBdr>
          <w:bottom w:val="single" w:sz="4" w:space="1" w:color="auto"/>
        </w:pBdr>
        <w:jc w:val="both"/>
        <w:rPr>
          <w:noProof/>
          <w:lang w:val="en-CA" w:eastAsia="zh-CN"/>
        </w:rPr>
      </w:pPr>
    </w:p>
    <w:p w14:paraId="3695A6D8" w14:textId="77777777" w:rsidR="00BD37FA" w:rsidRDefault="00BD37FA">
      <w:pPr>
        <w:pBdr>
          <w:bottom w:val="single" w:sz="4" w:space="1" w:color="auto"/>
        </w:pBdr>
        <w:jc w:val="both"/>
        <w:rPr>
          <w:noProof/>
          <w:lang w:val="en-CA" w:eastAsia="zh-CN"/>
        </w:rPr>
      </w:pPr>
    </w:p>
    <w:p w14:paraId="262E85B6" w14:textId="77777777" w:rsidR="00BD37FA" w:rsidRDefault="00BD37FA">
      <w:pPr>
        <w:pBdr>
          <w:bottom w:val="single" w:sz="4" w:space="1" w:color="auto"/>
        </w:pBdr>
        <w:jc w:val="both"/>
        <w:rPr>
          <w:noProof/>
          <w:lang w:val="en-CA" w:eastAsia="zh-CN"/>
        </w:rPr>
      </w:pPr>
    </w:p>
    <w:p w14:paraId="61CC5767" w14:textId="77777777" w:rsidR="00BD37FA" w:rsidRDefault="00BD37FA">
      <w:pPr>
        <w:pBdr>
          <w:bottom w:val="single" w:sz="4" w:space="1" w:color="auto"/>
        </w:pBdr>
        <w:jc w:val="both"/>
        <w:rPr>
          <w:noProof/>
          <w:lang w:val="en-CA" w:eastAsia="zh-CN"/>
        </w:rPr>
      </w:pPr>
    </w:p>
    <w:p w14:paraId="774204C6" w14:textId="77777777" w:rsidR="00BD37FA" w:rsidRDefault="00BD37FA">
      <w:pPr>
        <w:pBdr>
          <w:bottom w:val="single" w:sz="4" w:space="1" w:color="auto"/>
        </w:pBdr>
        <w:jc w:val="both"/>
        <w:rPr>
          <w:noProof/>
          <w:lang w:val="en-CA" w:eastAsia="zh-CN"/>
        </w:rPr>
      </w:pPr>
    </w:p>
    <w:p w14:paraId="3ABE1186" w14:textId="77777777" w:rsidR="00BD37FA" w:rsidRDefault="00BD37FA">
      <w:pPr>
        <w:pBdr>
          <w:bottom w:val="single" w:sz="4" w:space="1" w:color="auto"/>
        </w:pBdr>
        <w:jc w:val="both"/>
        <w:rPr>
          <w:noProof/>
          <w:lang w:val="en-CA" w:eastAsia="zh-CN"/>
        </w:rPr>
      </w:pPr>
    </w:p>
    <w:p w14:paraId="28B3033E" w14:textId="77777777" w:rsidR="00BD37FA" w:rsidRDefault="00BD37FA">
      <w:pPr>
        <w:pBdr>
          <w:bottom w:val="single" w:sz="4" w:space="1" w:color="auto"/>
        </w:pBdr>
        <w:jc w:val="both"/>
        <w:rPr>
          <w:noProof/>
          <w:lang w:val="en-CA" w:eastAsia="zh-CN"/>
        </w:rPr>
      </w:pPr>
    </w:p>
    <w:p w14:paraId="769038E3" w14:textId="77777777" w:rsidR="00BD37FA" w:rsidRDefault="00BD37FA">
      <w:pPr>
        <w:pBdr>
          <w:bottom w:val="single" w:sz="4" w:space="1" w:color="auto"/>
        </w:pBdr>
        <w:jc w:val="both"/>
        <w:rPr>
          <w:noProof/>
          <w:lang w:val="en-CA" w:eastAsia="zh-CN"/>
        </w:rPr>
      </w:pPr>
    </w:p>
    <w:p w14:paraId="15E354BA" w14:textId="77777777" w:rsidR="00BD37FA" w:rsidRDefault="00BD37FA">
      <w:pPr>
        <w:pBdr>
          <w:bottom w:val="single" w:sz="4" w:space="1" w:color="auto"/>
        </w:pBdr>
        <w:jc w:val="both"/>
        <w:rPr>
          <w:noProof/>
          <w:lang w:val="en-CA" w:eastAsia="zh-CN"/>
        </w:rPr>
      </w:pPr>
    </w:p>
    <w:p w14:paraId="4D362B93" w14:textId="77777777" w:rsidR="00BD37FA" w:rsidRDefault="00BD37FA">
      <w:pPr>
        <w:pBdr>
          <w:bottom w:val="single" w:sz="4" w:space="1" w:color="auto"/>
        </w:pBdr>
        <w:jc w:val="both"/>
        <w:rPr>
          <w:noProof/>
          <w:lang w:val="en-CA" w:eastAsia="zh-CN"/>
        </w:rPr>
      </w:pPr>
    </w:p>
    <w:p w14:paraId="32329599" w14:textId="77777777" w:rsidR="00BD37FA" w:rsidRDefault="00BD37FA">
      <w:pPr>
        <w:pBdr>
          <w:bottom w:val="single" w:sz="4" w:space="1" w:color="auto"/>
        </w:pBdr>
        <w:jc w:val="both"/>
        <w:rPr>
          <w:noProof/>
          <w:lang w:val="en-CA" w:eastAsia="zh-CN"/>
        </w:rPr>
      </w:pPr>
    </w:p>
    <w:p w14:paraId="59A1D756" w14:textId="77777777" w:rsidR="00BD37FA" w:rsidRDefault="00BD37FA">
      <w:pPr>
        <w:pBdr>
          <w:bottom w:val="single" w:sz="4" w:space="1" w:color="auto"/>
        </w:pBdr>
        <w:jc w:val="both"/>
        <w:rPr>
          <w:noProof/>
          <w:lang w:val="en-CA" w:eastAsia="zh-CN"/>
        </w:rPr>
      </w:pPr>
    </w:p>
    <w:p w14:paraId="30CEE665" w14:textId="77777777" w:rsidR="00BD37FA" w:rsidRDefault="00BD37FA">
      <w:pPr>
        <w:pBdr>
          <w:bottom w:val="single" w:sz="4" w:space="1" w:color="auto"/>
        </w:pBdr>
        <w:jc w:val="both"/>
        <w:rPr>
          <w:noProof/>
          <w:lang w:val="en-CA" w:eastAsia="zh-CN"/>
        </w:rPr>
      </w:pPr>
    </w:p>
    <w:p w14:paraId="17A8925C" w14:textId="77777777" w:rsidR="00A04E47" w:rsidRDefault="00A04E47">
      <w:pPr>
        <w:pBdr>
          <w:bottom w:val="single" w:sz="4" w:space="1" w:color="auto"/>
        </w:pBdr>
        <w:jc w:val="both"/>
        <w:rPr>
          <w:noProof/>
          <w:lang w:val="en-CA" w:eastAsia="zh-CN"/>
        </w:rPr>
      </w:pPr>
    </w:p>
    <w:p w14:paraId="0C69769A" w14:textId="77777777" w:rsidR="00BD37FA" w:rsidRDefault="00BD37FA">
      <w:pPr>
        <w:pBdr>
          <w:bottom w:val="single" w:sz="4" w:space="1" w:color="auto"/>
        </w:pBdr>
        <w:jc w:val="both"/>
        <w:rPr>
          <w:noProof/>
          <w:lang w:val="en-CA" w:eastAsia="zh-CN"/>
        </w:rPr>
      </w:pPr>
    </w:p>
    <w:p w14:paraId="53014F8A" w14:textId="77777777" w:rsidR="00BD37FA" w:rsidRDefault="00BD37FA">
      <w:pPr>
        <w:pBdr>
          <w:bottom w:val="single" w:sz="4" w:space="1" w:color="auto"/>
        </w:pBdr>
        <w:jc w:val="both"/>
        <w:rPr>
          <w:noProof/>
          <w:lang w:val="en-CA" w:eastAsia="zh-CN"/>
        </w:rPr>
      </w:pPr>
    </w:p>
    <w:p w14:paraId="04A7756D" w14:textId="3EF1126D" w:rsidR="00BD37FA" w:rsidRDefault="003A69E9">
      <w:pPr>
        <w:pBdr>
          <w:bottom w:val="single" w:sz="4" w:space="1" w:color="auto"/>
        </w:pBdr>
        <w:jc w:val="both"/>
        <w:rPr>
          <w:noProof/>
          <w:lang w:val="en-CA" w:eastAsia="zh-CN"/>
        </w:rPr>
      </w:pPr>
      <w:r w:rsidRPr="00154750">
        <w:rPr>
          <w:rFonts w:ascii="Times New Roman" w:hAnsi="Times New Roman"/>
          <w:b/>
          <w:sz w:val="24"/>
        </w:rPr>
        <w:t xml:space="preserve">Appendix </w:t>
      </w:r>
      <w:r>
        <w:rPr>
          <w:rFonts w:ascii="Times New Roman" w:hAnsi="Times New Roman"/>
          <w:b/>
          <w:sz w:val="24"/>
        </w:rPr>
        <w:t>6:</w:t>
      </w:r>
    </w:p>
    <w:p w14:paraId="0D5C7574" w14:textId="649CFB80" w:rsidR="00BD37FA" w:rsidRDefault="00BD37FA">
      <w:pPr>
        <w:pBdr>
          <w:bottom w:val="single" w:sz="4" w:space="1" w:color="auto"/>
        </w:pBdr>
        <w:jc w:val="both"/>
        <w:rPr>
          <w:noProof/>
          <w:lang w:val="en-CA" w:eastAsia="zh-CN"/>
        </w:rPr>
      </w:pPr>
    </w:p>
    <w:p w14:paraId="2F129EEF" w14:textId="5CD4E2A7" w:rsidR="00BD37FA" w:rsidRDefault="00BD37FA">
      <w:pPr>
        <w:pBdr>
          <w:bottom w:val="single" w:sz="4" w:space="1" w:color="auto"/>
        </w:pBdr>
        <w:jc w:val="both"/>
        <w:rPr>
          <w:noProof/>
          <w:lang w:val="en-CA" w:eastAsia="zh-CN"/>
        </w:rPr>
      </w:pPr>
      <w:r w:rsidRPr="00BD37FA">
        <w:rPr>
          <w:noProof/>
          <w:lang w:val="en-CA" w:eastAsia="en-CA"/>
        </w:rPr>
        <w:drawing>
          <wp:anchor distT="0" distB="0" distL="114300" distR="114300" simplePos="0" relativeHeight="251685376" behindDoc="1" locked="0" layoutInCell="1" allowOverlap="1" wp14:anchorId="3FF08947" wp14:editId="3F57892B">
            <wp:simplePos x="0" y="0"/>
            <wp:positionH relativeFrom="column">
              <wp:posOffset>-654634</wp:posOffset>
            </wp:positionH>
            <wp:positionV relativeFrom="paragraph">
              <wp:posOffset>-84379</wp:posOffset>
            </wp:positionV>
            <wp:extent cx="7706995" cy="6561735"/>
            <wp:effectExtent l="0" t="0" r="8255" b="0"/>
            <wp:wrapNone/>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729852" cy="65811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80EB6" w14:textId="77777777" w:rsidR="00BD37FA" w:rsidRDefault="00BD37FA">
      <w:pPr>
        <w:pBdr>
          <w:bottom w:val="single" w:sz="4" w:space="1" w:color="auto"/>
        </w:pBdr>
        <w:jc w:val="both"/>
        <w:rPr>
          <w:noProof/>
          <w:lang w:val="en-CA" w:eastAsia="zh-CN"/>
        </w:rPr>
      </w:pPr>
    </w:p>
    <w:p w14:paraId="4B095ECB" w14:textId="77777777" w:rsidR="00BD37FA" w:rsidRDefault="00BD37FA">
      <w:pPr>
        <w:pBdr>
          <w:bottom w:val="single" w:sz="4" w:space="1" w:color="auto"/>
        </w:pBdr>
        <w:jc w:val="both"/>
        <w:rPr>
          <w:noProof/>
          <w:lang w:val="en-CA" w:eastAsia="zh-CN"/>
        </w:rPr>
      </w:pPr>
    </w:p>
    <w:p w14:paraId="41866332" w14:textId="77777777" w:rsidR="00BD37FA" w:rsidRDefault="00BD37FA">
      <w:pPr>
        <w:pBdr>
          <w:bottom w:val="single" w:sz="4" w:space="1" w:color="auto"/>
        </w:pBdr>
        <w:jc w:val="both"/>
        <w:rPr>
          <w:noProof/>
          <w:lang w:val="en-CA" w:eastAsia="zh-CN"/>
        </w:rPr>
      </w:pPr>
    </w:p>
    <w:p w14:paraId="5B9839A6" w14:textId="77777777" w:rsidR="00BD37FA" w:rsidRDefault="00BD37FA">
      <w:pPr>
        <w:pBdr>
          <w:bottom w:val="single" w:sz="4" w:space="1" w:color="auto"/>
        </w:pBdr>
        <w:jc w:val="both"/>
        <w:rPr>
          <w:noProof/>
          <w:lang w:val="en-CA" w:eastAsia="zh-CN"/>
        </w:rPr>
      </w:pPr>
    </w:p>
    <w:p w14:paraId="79E86FE4" w14:textId="77777777" w:rsidR="00BD37FA" w:rsidRDefault="00BD37FA">
      <w:pPr>
        <w:pBdr>
          <w:bottom w:val="single" w:sz="4" w:space="1" w:color="auto"/>
        </w:pBdr>
        <w:jc w:val="both"/>
        <w:rPr>
          <w:noProof/>
          <w:lang w:val="en-CA" w:eastAsia="zh-CN"/>
        </w:rPr>
      </w:pPr>
    </w:p>
    <w:p w14:paraId="37C57EB0" w14:textId="77777777" w:rsidR="00BD37FA" w:rsidRDefault="00BD37FA">
      <w:pPr>
        <w:pBdr>
          <w:bottom w:val="single" w:sz="4" w:space="1" w:color="auto"/>
        </w:pBdr>
        <w:jc w:val="both"/>
        <w:rPr>
          <w:noProof/>
          <w:lang w:val="en-CA" w:eastAsia="zh-CN"/>
        </w:rPr>
      </w:pPr>
    </w:p>
    <w:p w14:paraId="7C483E4B" w14:textId="77777777" w:rsidR="00BD37FA" w:rsidRDefault="00BD37FA">
      <w:pPr>
        <w:pBdr>
          <w:bottom w:val="single" w:sz="4" w:space="1" w:color="auto"/>
        </w:pBdr>
        <w:jc w:val="both"/>
        <w:rPr>
          <w:noProof/>
          <w:lang w:val="en-CA" w:eastAsia="zh-CN"/>
        </w:rPr>
      </w:pPr>
    </w:p>
    <w:p w14:paraId="7A8AB68F" w14:textId="77777777" w:rsidR="00BD37FA" w:rsidRDefault="00BD37FA">
      <w:pPr>
        <w:pBdr>
          <w:bottom w:val="single" w:sz="4" w:space="1" w:color="auto"/>
        </w:pBdr>
        <w:jc w:val="both"/>
        <w:rPr>
          <w:noProof/>
          <w:lang w:val="en-CA" w:eastAsia="zh-CN"/>
        </w:rPr>
      </w:pPr>
    </w:p>
    <w:p w14:paraId="65196ED1" w14:textId="77777777" w:rsidR="00BD37FA" w:rsidRDefault="00BD37FA">
      <w:pPr>
        <w:pBdr>
          <w:bottom w:val="single" w:sz="4" w:space="1" w:color="auto"/>
        </w:pBdr>
        <w:jc w:val="both"/>
        <w:rPr>
          <w:noProof/>
          <w:lang w:val="en-CA" w:eastAsia="zh-CN"/>
        </w:rPr>
      </w:pPr>
    </w:p>
    <w:p w14:paraId="1BBD44D5" w14:textId="77777777" w:rsidR="00BD37FA" w:rsidRDefault="00BD37FA">
      <w:pPr>
        <w:pBdr>
          <w:bottom w:val="single" w:sz="4" w:space="1" w:color="auto"/>
        </w:pBdr>
        <w:jc w:val="both"/>
        <w:rPr>
          <w:noProof/>
          <w:lang w:val="en-CA" w:eastAsia="zh-CN"/>
        </w:rPr>
      </w:pPr>
    </w:p>
    <w:p w14:paraId="4706715A" w14:textId="77777777" w:rsidR="00BD37FA" w:rsidRDefault="00BD37FA">
      <w:pPr>
        <w:pBdr>
          <w:bottom w:val="single" w:sz="4" w:space="1" w:color="auto"/>
        </w:pBdr>
        <w:jc w:val="both"/>
        <w:rPr>
          <w:noProof/>
          <w:lang w:val="en-CA" w:eastAsia="zh-CN"/>
        </w:rPr>
      </w:pPr>
    </w:p>
    <w:p w14:paraId="5D375898" w14:textId="77777777" w:rsidR="00BD37FA" w:rsidRDefault="00BD37FA">
      <w:pPr>
        <w:pBdr>
          <w:bottom w:val="single" w:sz="4" w:space="1" w:color="auto"/>
        </w:pBdr>
        <w:jc w:val="both"/>
        <w:rPr>
          <w:noProof/>
          <w:lang w:val="en-CA" w:eastAsia="zh-CN"/>
        </w:rPr>
      </w:pPr>
    </w:p>
    <w:p w14:paraId="2F4EA353" w14:textId="77777777" w:rsidR="00BD37FA" w:rsidRDefault="00BD37FA">
      <w:pPr>
        <w:pBdr>
          <w:bottom w:val="single" w:sz="4" w:space="1" w:color="auto"/>
        </w:pBdr>
        <w:jc w:val="both"/>
        <w:rPr>
          <w:noProof/>
          <w:lang w:val="en-CA" w:eastAsia="zh-CN"/>
        </w:rPr>
      </w:pPr>
    </w:p>
    <w:p w14:paraId="76DC7467" w14:textId="77777777" w:rsidR="00BD37FA" w:rsidRDefault="00BD37FA">
      <w:pPr>
        <w:pBdr>
          <w:bottom w:val="single" w:sz="4" w:space="1" w:color="auto"/>
        </w:pBdr>
        <w:jc w:val="both"/>
        <w:rPr>
          <w:noProof/>
          <w:lang w:val="en-CA" w:eastAsia="zh-CN"/>
        </w:rPr>
      </w:pPr>
    </w:p>
    <w:p w14:paraId="026A77AD" w14:textId="77777777" w:rsidR="00BD37FA" w:rsidRDefault="00BD37FA">
      <w:pPr>
        <w:pBdr>
          <w:bottom w:val="single" w:sz="4" w:space="1" w:color="auto"/>
        </w:pBdr>
        <w:jc w:val="both"/>
        <w:rPr>
          <w:noProof/>
          <w:lang w:val="en-CA" w:eastAsia="zh-CN"/>
        </w:rPr>
      </w:pPr>
    </w:p>
    <w:p w14:paraId="497DDCD2" w14:textId="77777777" w:rsidR="00BD37FA" w:rsidRDefault="00BD37FA">
      <w:pPr>
        <w:pBdr>
          <w:bottom w:val="single" w:sz="4" w:space="1" w:color="auto"/>
        </w:pBdr>
        <w:jc w:val="both"/>
        <w:rPr>
          <w:noProof/>
          <w:lang w:val="en-CA" w:eastAsia="zh-CN"/>
        </w:rPr>
      </w:pPr>
    </w:p>
    <w:p w14:paraId="7C8D4E3D" w14:textId="77777777" w:rsidR="00BD37FA" w:rsidRDefault="00BD37FA">
      <w:pPr>
        <w:pBdr>
          <w:bottom w:val="single" w:sz="4" w:space="1" w:color="auto"/>
        </w:pBdr>
        <w:jc w:val="both"/>
        <w:rPr>
          <w:noProof/>
          <w:lang w:val="en-CA" w:eastAsia="zh-CN"/>
        </w:rPr>
      </w:pPr>
    </w:p>
    <w:p w14:paraId="53FF64DB" w14:textId="77777777" w:rsidR="00BD37FA" w:rsidRDefault="00BD37FA">
      <w:pPr>
        <w:pBdr>
          <w:bottom w:val="single" w:sz="4" w:space="1" w:color="auto"/>
        </w:pBdr>
        <w:jc w:val="both"/>
        <w:rPr>
          <w:noProof/>
          <w:lang w:val="en-CA" w:eastAsia="zh-CN"/>
        </w:rPr>
      </w:pPr>
    </w:p>
    <w:p w14:paraId="07CD1894" w14:textId="77777777" w:rsidR="00BD37FA" w:rsidRDefault="00BD37FA">
      <w:pPr>
        <w:pBdr>
          <w:bottom w:val="single" w:sz="4" w:space="1" w:color="auto"/>
        </w:pBdr>
        <w:jc w:val="both"/>
        <w:rPr>
          <w:noProof/>
          <w:lang w:val="en-CA" w:eastAsia="zh-CN"/>
        </w:rPr>
      </w:pPr>
    </w:p>
    <w:p w14:paraId="62349245" w14:textId="77777777" w:rsidR="00BD37FA" w:rsidRDefault="00BD37FA">
      <w:pPr>
        <w:pBdr>
          <w:bottom w:val="single" w:sz="4" w:space="1" w:color="auto"/>
        </w:pBdr>
        <w:jc w:val="both"/>
        <w:rPr>
          <w:noProof/>
          <w:lang w:val="en-CA" w:eastAsia="zh-CN"/>
        </w:rPr>
      </w:pPr>
    </w:p>
    <w:p w14:paraId="15DC5D3A" w14:textId="77777777" w:rsidR="00BD37FA" w:rsidRDefault="00BD37FA">
      <w:pPr>
        <w:pBdr>
          <w:bottom w:val="single" w:sz="4" w:space="1" w:color="auto"/>
        </w:pBdr>
        <w:jc w:val="both"/>
        <w:rPr>
          <w:noProof/>
          <w:lang w:val="en-CA" w:eastAsia="zh-CN"/>
        </w:rPr>
      </w:pPr>
    </w:p>
    <w:p w14:paraId="41F12CB9" w14:textId="77777777" w:rsidR="00BD37FA" w:rsidRDefault="00BD37FA">
      <w:pPr>
        <w:pBdr>
          <w:bottom w:val="single" w:sz="4" w:space="1" w:color="auto"/>
        </w:pBdr>
        <w:jc w:val="both"/>
        <w:rPr>
          <w:noProof/>
          <w:lang w:val="en-CA" w:eastAsia="zh-CN"/>
        </w:rPr>
      </w:pPr>
    </w:p>
    <w:p w14:paraId="5C4D86F4" w14:textId="77777777" w:rsidR="00BD37FA" w:rsidRDefault="00BD37FA">
      <w:pPr>
        <w:pBdr>
          <w:bottom w:val="single" w:sz="4" w:space="1" w:color="auto"/>
        </w:pBdr>
        <w:jc w:val="both"/>
        <w:rPr>
          <w:noProof/>
          <w:lang w:val="en-CA" w:eastAsia="zh-CN"/>
        </w:rPr>
      </w:pPr>
    </w:p>
    <w:p w14:paraId="253F1F00" w14:textId="77777777" w:rsidR="00BD37FA" w:rsidRDefault="00BD37FA">
      <w:pPr>
        <w:pBdr>
          <w:bottom w:val="single" w:sz="4" w:space="1" w:color="auto"/>
        </w:pBdr>
        <w:jc w:val="both"/>
        <w:rPr>
          <w:noProof/>
          <w:lang w:val="en-CA" w:eastAsia="zh-CN"/>
        </w:rPr>
      </w:pPr>
    </w:p>
    <w:p w14:paraId="01950D1C" w14:textId="77777777" w:rsidR="00BD37FA" w:rsidRDefault="00BD37FA">
      <w:pPr>
        <w:pBdr>
          <w:bottom w:val="single" w:sz="4" w:space="1" w:color="auto"/>
        </w:pBdr>
        <w:jc w:val="both"/>
        <w:rPr>
          <w:noProof/>
          <w:lang w:val="en-CA" w:eastAsia="zh-CN"/>
        </w:rPr>
      </w:pPr>
    </w:p>
    <w:p w14:paraId="4E2490EF" w14:textId="77777777" w:rsidR="00BD37FA" w:rsidRDefault="00BD37FA">
      <w:pPr>
        <w:pBdr>
          <w:bottom w:val="single" w:sz="4" w:space="1" w:color="auto"/>
        </w:pBdr>
        <w:jc w:val="both"/>
        <w:rPr>
          <w:noProof/>
          <w:lang w:val="en-CA" w:eastAsia="zh-CN"/>
        </w:rPr>
      </w:pPr>
    </w:p>
    <w:p w14:paraId="6BD90FA4" w14:textId="77777777" w:rsidR="00BD37FA" w:rsidRDefault="00BD37FA">
      <w:pPr>
        <w:pBdr>
          <w:bottom w:val="single" w:sz="4" w:space="1" w:color="auto"/>
        </w:pBdr>
        <w:jc w:val="both"/>
        <w:rPr>
          <w:noProof/>
          <w:lang w:val="en-CA" w:eastAsia="zh-CN"/>
        </w:rPr>
      </w:pPr>
    </w:p>
    <w:p w14:paraId="013A04B0" w14:textId="77777777" w:rsidR="00BD37FA" w:rsidRDefault="00BD37FA">
      <w:pPr>
        <w:pBdr>
          <w:bottom w:val="single" w:sz="4" w:space="1" w:color="auto"/>
        </w:pBdr>
        <w:jc w:val="both"/>
        <w:rPr>
          <w:noProof/>
          <w:lang w:val="en-CA" w:eastAsia="zh-CN"/>
        </w:rPr>
      </w:pPr>
    </w:p>
    <w:p w14:paraId="29D27C07" w14:textId="77777777" w:rsidR="00BD37FA" w:rsidRDefault="00BD37FA">
      <w:pPr>
        <w:pBdr>
          <w:bottom w:val="single" w:sz="4" w:space="1" w:color="auto"/>
        </w:pBdr>
        <w:jc w:val="both"/>
        <w:rPr>
          <w:noProof/>
          <w:lang w:val="en-CA" w:eastAsia="zh-CN"/>
        </w:rPr>
      </w:pPr>
    </w:p>
    <w:p w14:paraId="0AECD2D8" w14:textId="77777777" w:rsidR="00BD37FA" w:rsidRDefault="00BD37FA">
      <w:pPr>
        <w:pBdr>
          <w:bottom w:val="single" w:sz="4" w:space="1" w:color="auto"/>
        </w:pBdr>
        <w:jc w:val="both"/>
        <w:rPr>
          <w:noProof/>
          <w:lang w:val="en-CA" w:eastAsia="zh-CN"/>
        </w:rPr>
      </w:pPr>
    </w:p>
    <w:p w14:paraId="3A614D39" w14:textId="77777777" w:rsidR="00BD37FA" w:rsidRDefault="00BD37FA">
      <w:pPr>
        <w:pBdr>
          <w:bottom w:val="single" w:sz="4" w:space="1" w:color="auto"/>
        </w:pBdr>
        <w:jc w:val="both"/>
        <w:rPr>
          <w:noProof/>
          <w:lang w:val="en-CA" w:eastAsia="zh-CN"/>
        </w:rPr>
      </w:pPr>
    </w:p>
    <w:p w14:paraId="41DC4E00" w14:textId="77777777" w:rsidR="00BD37FA" w:rsidRDefault="00BD37FA">
      <w:pPr>
        <w:pBdr>
          <w:bottom w:val="single" w:sz="4" w:space="1" w:color="auto"/>
        </w:pBdr>
        <w:jc w:val="both"/>
        <w:rPr>
          <w:noProof/>
          <w:lang w:val="en-CA" w:eastAsia="zh-CN"/>
        </w:rPr>
      </w:pPr>
    </w:p>
    <w:p w14:paraId="3BA92054" w14:textId="77777777" w:rsidR="00BD37FA" w:rsidRDefault="00BD37FA">
      <w:pPr>
        <w:pBdr>
          <w:bottom w:val="single" w:sz="4" w:space="1" w:color="auto"/>
        </w:pBdr>
        <w:jc w:val="both"/>
        <w:rPr>
          <w:noProof/>
          <w:lang w:val="en-CA" w:eastAsia="zh-CN"/>
        </w:rPr>
      </w:pPr>
    </w:p>
    <w:p w14:paraId="624A178C" w14:textId="77777777" w:rsidR="00BD37FA" w:rsidRDefault="00BD37FA">
      <w:pPr>
        <w:pBdr>
          <w:bottom w:val="single" w:sz="4" w:space="1" w:color="auto"/>
        </w:pBdr>
        <w:jc w:val="both"/>
        <w:rPr>
          <w:noProof/>
          <w:lang w:val="en-CA" w:eastAsia="zh-CN"/>
        </w:rPr>
      </w:pPr>
    </w:p>
    <w:p w14:paraId="4F763851" w14:textId="77777777" w:rsidR="00BD37FA" w:rsidRDefault="00BD37FA">
      <w:pPr>
        <w:pBdr>
          <w:bottom w:val="single" w:sz="4" w:space="1" w:color="auto"/>
        </w:pBdr>
        <w:jc w:val="both"/>
        <w:rPr>
          <w:noProof/>
          <w:lang w:val="en-CA" w:eastAsia="zh-CN"/>
        </w:rPr>
      </w:pPr>
    </w:p>
    <w:p w14:paraId="055B48D5" w14:textId="77777777" w:rsidR="00BD37FA" w:rsidRDefault="00BD37FA">
      <w:pPr>
        <w:pBdr>
          <w:bottom w:val="single" w:sz="4" w:space="1" w:color="auto"/>
        </w:pBdr>
        <w:jc w:val="both"/>
        <w:rPr>
          <w:noProof/>
          <w:lang w:val="en-CA" w:eastAsia="zh-CN"/>
        </w:rPr>
      </w:pPr>
    </w:p>
    <w:p w14:paraId="1A05B8D8" w14:textId="77777777" w:rsidR="00BD37FA" w:rsidRDefault="00BD37FA">
      <w:pPr>
        <w:pBdr>
          <w:bottom w:val="single" w:sz="4" w:space="1" w:color="auto"/>
        </w:pBdr>
        <w:jc w:val="both"/>
        <w:rPr>
          <w:noProof/>
          <w:lang w:val="en-CA" w:eastAsia="zh-CN"/>
        </w:rPr>
      </w:pPr>
    </w:p>
    <w:p w14:paraId="6891096A" w14:textId="77777777" w:rsidR="00BD37FA" w:rsidRDefault="00BD37FA">
      <w:pPr>
        <w:pBdr>
          <w:bottom w:val="single" w:sz="4" w:space="1" w:color="auto"/>
        </w:pBdr>
        <w:jc w:val="both"/>
        <w:rPr>
          <w:noProof/>
          <w:lang w:val="en-CA" w:eastAsia="zh-CN"/>
        </w:rPr>
      </w:pPr>
    </w:p>
    <w:p w14:paraId="1F230445" w14:textId="77777777" w:rsidR="00BD37FA" w:rsidRDefault="00BD37FA">
      <w:pPr>
        <w:pBdr>
          <w:bottom w:val="single" w:sz="4" w:space="1" w:color="auto"/>
        </w:pBdr>
        <w:jc w:val="both"/>
        <w:rPr>
          <w:noProof/>
          <w:lang w:val="en-CA" w:eastAsia="zh-CN"/>
        </w:rPr>
      </w:pPr>
    </w:p>
    <w:p w14:paraId="2B70727D" w14:textId="77777777" w:rsidR="00BD37FA" w:rsidRDefault="00BD37FA">
      <w:pPr>
        <w:pBdr>
          <w:bottom w:val="single" w:sz="4" w:space="1" w:color="auto"/>
        </w:pBdr>
        <w:jc w:val="both"/>
        <w:rPr>
          <w:rFonts w:ascii="Times New Roman" w:hAnsi="Times New Roman"/>
          <w:sz w:val="16"/>
        </w:rPr>
      </w:pPr>
    </w:p>
    <w:p w14:paraId="7EE46354" w14:textId="77777777" w:rsidR="001F7544" w:rsidRDefault="001F7544">
      <w:pPr>
        <w:pBdr>
          <w:bottom w:val="single" w:sz="4" w:space="1" w:color="auto"/>
        </w:pBdr>
        <w:jc w:val="both"/>
        <w:rPr>
          <w:rFonts w:ascii="Times New Roman" w:hAnsi="Times New Roman"/>
          <w:sz w:val="16"/>
        </w:rPr>
      </w:pPr>
    </w:p>
    <w:p w14:paraId="1AC38926" w14:textId="77777777" w:rsidR="001F7544" w:rsidRDefault="001F7544">
      <w:pPr>
        <w:pBdr>
          <w:bottom w:val="single" w:sz="4" w:space="1" w:color="auto"/>
        </w:pBdr>
        <w:jc w:val="both"/>
        <w:rPr>
          <w:rFonts w:ascii="Times New Roman" w:hAnsi="Times New Roman"/>
          <w:sz w:val="16"/>
        </w:rPr>
      </w:pPr>
    </w:p>
    <w:p w14:paraId="5A71458E" w14:textId="77777777" w:rsidR="001F7544" w:rsidRDefault="001F7544">
      <w:pPr>
        <w:pBdr>
          <w:bottom w:val="single" w:sz="4" w:space="1" w:color="auto"/>
        </w:pBdr>
        <w:jc w:val="both"/>
        <w:rPr>
          <w:rFonts w:ascii="Times New Roman" w:hAnsi="Times New Roman"/>
          <w:sz w:val="16"/>
        </w:rPr>
      </w:pPr>
    </w:p>
    <w:p w14:paraId="46862EC1" w14:textId="77777777" w:rsidR="001F7544" w:rsidRDefault="001F7544">
      <w:pPr>
        <w:pBdr>
          <w:bottom w:val="single" w:sz="4" w:space="1" w:color="auto"/>
        </w:pBdr>
        <w:jc w:val="both"/>
        <w:rPr>
          <w:rFonts w:ascii="Times New Roman" w:hAnsi="Times New Roman"/>
          <w:sz w:val="16"/>
        </w:rPr>
      </w:pPr>
    </w:p>
    <w:p w14:paraId="24A1319A" w14:textId="77777777" w:rsidR="001F7544" w:rsidRDefault="001F7544">
      <w:pPr>
        <w:pBdr>
          <w:bottom w:val="single" w:sz="4" w:space="1" w:color="auto"/>
        </w:pBdr>
        <w:jc w:val="both"/>
        <w:rPr>
          <w:rFonts w:ascii="Times New Roman" w:hAnsi="Times New Roman"/>
          <w:sz w:val="16"/>
        </w:rPr>
      </w:pPr>
    </w:p>
    <w:p w14:paraId="56F8B131" w14:textId="77777777" w:rsidR="001F7544" w:rsidRDefault="001F7544">
      <w:pPr>
        <w:pBdr>
          <w:bottom w:val="single" w:sz="4" w:space="1" w:color="auto"/>
        </w:pBdr>
        <w:jc w:val="both"/>
        <w:rPr>
          <w:rFonts w:ascii="Times New Roman" w:hAnsi="Times New Roman"/>
          <w:sz w:val="16"/>
        </w:rPr>
      </w:pPr>
    </w:p>
    <w:p w14:paraId="1DB2933F" w14:textId="77777777" w:rsidR="001F7544" w:rsidRDefault="001F7544">
      <w:pPr>
        <w:pBdr>
          <w:bottom w:val="single" w:sz="4" w:space="1" w:color="auto"/>
        </w:pBdr>
        <w:jc w:val="both"/>
        <w:rPr>
          <w:rFonts w:ascii="Times New Roman" w:hAnsi="Times New Roman"/>
          <w:sz w:val="16"/>
        </w:rPr>
      </w:pPr>
    </w:p>
    <w:p w14:paraId="693BA09E" w14:textId="441C5B1A" w:rsidR="001F7544" w:rsidRDefault="001F7544">
      <w:pPr>
        <w:pBdr>
          <w:bottom w:val="single" w:sz="4" w:space="1" w:color="auto"/>
        </w:pBdr>
        <w:jc w:val="both"/>
        <w:rPr>
          <w:rFonts w:ascii="Times New Roman" w:hAnsi="Times New Roman"/>
          <w:sz w:val="16"/>
        </w:rPr>
      </w:pPr>
    </w:p>
    <w:p w14:paraId="1C360C6B" w14:textId="77777777" w:rsidR="00BD37FA" w:rsidRDefault="00BD37FA">
      <w:pPr>
        <w:pBdr>
          <w:bottom w:val="single" w:sz="4" w:space="1" w:color="auto"/>
        </w:pBdr>
        <w:jc w:val="both"/>
        <w:rPr>
          <w:rFonts w:ascii="Times New Roman" w:hAnsi="Times New Roman"/>
          <w:sz w:val="16"/>
        </w:rPr>
      </w:pPr>
    </w:p>
    <w:p w14:paraId="0740D2F6" w14:textId="77777777" w:rsidR="00BD37FA" w:rsidRDefault="00BD37FA">
      <w:pPr>
        <w:pBdr>
          <w:bottom w:val="single" w:sz="4" w:space="1" w:color="auto"/>
        </w:pBdr>
        <w:jc w:val="both"/>
        <w:rPr>
          <w:rFonts w:ascii="Times New Roman" w:hAnsi="Times New Roman"/>
          <w:sz w:val="16"/>
        </w:rPr>
      </w:pPr>
    </w:p>
    <w:p w14:paraId="5CE9CB1B" w14:textId="77777777" w:rsidR="00BD37FA" w:rsidRDefault="00BD37FA">
      <w:pPr>
        <w:pBdr>
          <w:bottom w:val="single" w:sz="4" w:space="1" w:color="auto"/>
        </w:pBdr>
        <w:jc w:val="both"/>
        <w:rPr>
          <w:rFonts w:ascii="Times New Roman" w:hAnsi="Times New Roman"/>
          <w:sz w:val="16"/>
        </w:rPr>
      </w:pPr>
    </w:p>
    <w:p w14:paraId="1021BD4D" w14:textId="77777777" w:rsidR="00BD37FA" w:rsidRDefault="00BD37FA">
      <w:pPr>
        <w:pBdr>
          <w:bottom w:val="single" w:sz="4" w:space="1" w:color="auto"/>
        </w:pBdr>
        <w:jc w:val="both"/>
        <w:rPr>
          <w:rFonts w:ascii="Times New Roman" w:hAnsi="Times New Roman"/>
          <w:sz w:val="16"/>
        </w:rPr>
      </w:pPr>
    </w:p>
    <w:p w14:paraId="7967FB6D" w14:textId="77777777" w:rsidR="00BD37FA" w:rsidRDefault="00BD37FA">
      <w:pPr>
        <w:pBdr>
          <w:bottom w:val="single" w:sz="4" w:space="1" w:color="auto"/>
        </w:pBdr>
        <w:jc w:val="both"/>
        <w:rPr>
          <w:rFonts w:ascii="Times New Roman" w:hAnsi="Times New Roman"/>
          <w:sz w:val="16"/>
        </w:rPr>
      </w:pPr>
    </w:p>
    <w:p w14:paraId="2525773D" w14:textId="77777777" w:rsidR="00BD37FA" w:rsidRDefault="00BD37FA">
      <w:pPr>
        <w:pBdr>
          <w:bottom w:val="single" w:sz="4" w:space="1" w:color="auto"/>
        </w:pBdr>
        <w:jc w:val="both"/>
        <w:rPr>
          <w:rFonts w:ascii="Times New Roman" w:hAnsi="Times New Roman"/>
          <w:sz w:val="16"/>
        </w:rPr>
      </w:pPr>
    </w:p>
    <w:p w14:paraId="295C35B4" w14:textId="77777777" w:rsidR="00BD37FA" w:rsidRDefault="00BD37FA">
      <w:pPr>
        <w:pBdr>
          <w:bottom w:val="single" w:sz="4" w:space="1" w:color="auto"/>
        </w:pBdr>
        <w:jc w:val="both"/>
        <w:rPr>
          <w:rFonts w:ascii="Times New Roman" w:hAnsi="Times New Roman"/>
          <w:sz w:val="16"/>
        </w:rPr>
      </w:pPr>
    </w:p>
    <w:p w14:paraId="51850C5D" w14:textId="77777777" w:rsidR="00BD37FA" w:rsidRDefault="00BD37FA">
      <w:pPr>
        <w:pBdr>
          <w:bottom w:val="single" w:sz="4" w:space="1" w:color="auto"/>
        </w:pBdr>
        <w:jc w:val="both"/>
        <w:rPr>
          <w:rFonts w:ascii="Times New Roman" w:hAnsi="Times New Roman"/>
          <w:sz w:val="16"/>
        </w:rPr>
      </w:pPr>
    </w:p>
    <w:p w14:paraId="78381AAE" w14:textId="77777777" w:rsidR="00BD37FA" w:rsidRDefault="00BD37FA">
      <w:pPr>
        <w:pBdr>
          <w:bottom w:val="single" w:sz="4" w:space="1" w:color="auto"/>
        </w:pBdr>
        <w:jc w:val="both"/>
        <w:rPr>
          <w:rFonts w:ascii="Times New Roman" w:hAnsi="Times New Roman"/>
          <w:sz w:val="16"/>
        </w:rPr>
      </w:pPr>
    </w:p>
    <w:p w14:paraId="2E053A1F" w14:textId="32733374" w:rsidR="00BD37FA" w:rsidRDefault="003A69E9">
      <w:pPr>
        <w:pBdr>
          <w:bottom w:val="single" w:sz="4" w:space="1" w:color="auto"/>
        </w:pBdr>
        <w:jc w:val="both"/>
        <w:rPr>
          <w:rFonts w:ascii="Times New Roman" w:hAnsi="Times New Roman"/>
          <w:sz w:val="16"/>
        </w:rPr>
      </w:pPr>
      <w:r w:rsidRPr="00154750">
        <w:rPr>
          <w:rFonts w:ascii="Times New Roman" w:hAnsi="Times New Roman"/>
          <w:b/>
          <w:sz w:val="24"/>
        </w:rPr>
        <w:t xml:space="preserve">Appendix </w:t>
      </w:r>
      <w:r>
        <w:rPr>
          <w:rFonts w:ascii="Times New Roman" w:hAnsi="Times New Roman"/>
          <w:b/>
          <w:sz w:val="24"/>
        </w:rPr>
        <w:t>7:</w:t>
      </w:r>
    </w:p>
    <w:p w14:paraId="4D6BE188" w14:textId="77777777" w:rsidR="00BD37FA" w:rsidRDefault="00BD37FA">
      <w:pPr>
        <w:pBdr>
          <w:bottom w:val="single" w:sz="4" w:space="1" w:color="auto"/>
        </w:pBdr>
        <w:jc w:val="both"/>
        <w:rPr>
          <w:rFonts w:ascii="Times New Roman" w:hAnsi="Times New Roman"/>
          <w:sz w:val="16"/>
        </w:rPr>
      </w:pPr>
    </w:p>
    <w:p w14:paraId="3EB7F21A" w14:textId="77777777" w:rsidR="00BD37FA" w:rsidRDefault="00BD37FA">
      <w:pPr>
        <w:pBdr>
          <w:bottom w:val="single" w:sz="4" w:space="1" w:color="auto"/>
        </w:pBdr>
        <w:jc w:val="both"/>
        <w:rPr>
          <w:rFonts w:ascii="Times New Roman" w:hAnsi="Times New Roman"/>
          <w:sz w:val="16"/>
        </w:rPr>
      </w:pPr>
    </w:p>
    <w:p w14:paraId="31CFA52A" w14:textId="4DB95E6E" w:rsidR="00BD37FA" w:rsidRDefault="00BD37FA">
      <w:pPr>
        <w:pBdr>
          <w:bottom w:val="single" w:sz="4" w:space="1" w:color="auto"/>
        </w:pBdr>
        <w:jc w:val="both"/>
        <w:rPr>
          <w:rFonts w:ascii="Times New Roman" w:hAnsi="Times New Roman"/>
          <w:sz w:val="16"/>
        </w:rPr>
      </w:pPr>
      <w:r w:rsidRPr="00BD37FA">
        <w:rPr>
          <w:noProof/>
          <w:lang w:val="en-CA" w:eastAsia="en-CA"/>
        </w:rPr>
        <w:drawing>
          <wp:anchor distT="0" distB="0" distL="114300" distR="114300" simplePos="0" relativeHeight="251686400" behindDoc="1" locked="0" layoutInCell="1" allowOverlap="1" wp14:anchorId="06A6ABB4" wp14:editId="7E74B783">
            <wp:simplePos x="0" y="0"/>
            <wp:positionH relativeFrom="margin">
              <wp:align>center</wp:align>
            </wp:positionH>
            <wp:positionV relativeFrom="paragraph">
              <wp:posOffset>-77003</wp:posOffset>
            </wp:positionV>
            <wp:extent cx="7715885" cy="4761781"/>
            <wp:effectExtent l="0" t="0" r="0" b="1270"/>
            <wp:wrapNone/>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715885" cy="47617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00E4F" w14:textId="77777777" w:rsidR="00BD37FA" w:rsidRDefault="00BD37FA">
      <w:pPr>
        <w:pBdr>
          <w:bottom w:val="single" w:sz="4" w:space="1" w:color="auto"/>
        </w:pBdr>
        <w:jc w:val="both"/>
        <w:rPr>
          <w:rFonts w:ascii="Times New Roman" w:hAnsi="Times New Roman"/>
          <w:sz w:val="16"/>
        </w:rPr>
      </w:pPr>
    </w:p>
    <w:p w14:paraId="4B319C34" w14:textId="77777777" w:rsidR="00BD37FA" w:rsidRDefault="00BD37FA">
      <w:pPr>
        <w:pBdr>
          <w:bottom w:val="single" w:sz="4" w:space="1" w:color="auto"/>
        </w:pBdr>
        <w:jc w:val="both"/>
        <w:rPr>
          <w:rFonts w:ascii="Times New Roman" w:hAnsi="Times New Roman"/>
          <w:sz w:val="16"/>
        </w:rPr>
      </w:pPr>
    </w:p>
    <w:p w14:paraId="494256E0" w14:textId="77777777" w:rsidR="00BD37FA" w:rsidRDefault="00BD37FA">
      <w:pPr>
        <w:pBdr>
          <w:bottom w:val="single" w:sz="4" w:space="1" w:color="auto"/>
        </w:pBdr>
        <w:jc w:val="both"/>
        <w:rPr>
          <w:rFonts w:ascii="Times New Roman" w:hAnsi="Times New Roman"/>
          <w:sz w:val="16"/>
        </w:rPr>
      </w:pPr>
    </w:p>
    <w:p w14:paraId="110B9D01" w14:textId="77777777" w:rsidR="00BD37FA" w:rsidRDefault="00BD37FA">
      <w:pPr>
        <w:pBdr>
          <w:bottom w:val="single" w:sz="4" w:space="1" w:color="auto"/>
        </w:pBdr>
        <w:jc w:val="both"/>
        <w:rPr>
          <w:rFonts w:ascii="Times New Roman" w:hAnsi="Times New Roman"/>
          <w:sz w:val="16"/>
        </w:rPr>
      </w:pPr>
    </w:p>
    <w:p w14:paraId="0592E9BC" w14:textId="77777777" w:rsidR="00BD37FA" w:rsidRDefault="00BD37FA">
      <w:pPr>
        <w:pBdr>
          <w:bottom w:val="single" w:sz="4" w:space="1" w:color="auto"/>
        </w:pBdr>
        <w:jc w:val="both"/>
        <w:rPr>
          <w:rFonts w:ascii="Times New Roman" w:hAnsi="Times New Roman"/>
          <w:sz w:val="16"/>
        </w:rPr>
      </w:pPr>
    </w:p>
    <w:p w14:paraId="701D97E0" w14:textId="77777777" w:rsidR="00BD37FA" w:rsidRDefault="00BD37FA">
      <w:pPr>
        <w:pBdr>
          <w:bottom w:val="single" w:sz="4" w:space="1" w:color="auto"/>
        </w:pBdr>
        <w:jc w:val="both"/>
        <w:rPr>
          <w:rFonts w:ascii="Times New Roman" w:hAnsi="Times New Roman"/>
          <w:sz w:val="16"/>
        </w:rPr>
      </w:pPr>
    </w:p>
    <w:p w14:paraId="3A5870A0" w14:textId="77777777" w:rsidR="00BD37FA" w:rsidRDefault="00BD37FA">
      <w:pPr>
        <w:pBdr>
          <w:bottom w:val="single" w:sz="4" w:space="1" w:color="auto"/>
        </w:pBdr>
        <w:jc w:val="both"/>
        <w:rPr>
          <w:rFonts w:ascii="Times New Roman" w:hAnsi="Times New Roman"/>
          <w:sz w:val="16"/>
        </w:rPr>
      </w:pPr>
    </w:p>
    <w:p w14:paraId="6DE57487" w14:textId="77777777" w:rsidR="00BD37FA" w:rsidRDefault="00BD37FA">
      <w:pPr>
        <w:pBdr>
          <w:bottom w:val="single" w:sz="4" w:space="1" w:color="auto"/>
        </w:pBdr>
        <w:jc w:val="both"/>
        <w:rPr>
          <w:rFonts w:ascii="Times New Roman" w:hAnsi="Times New Roman"/>
          <w:sz w:val="16"/>
        </w:rPr>
      </w:pPr>
    </w:p>
    <w:p w14:paraId="16B4470C" w14:textId="77777777" w:rsidR="00BD37FA" w:rsidRDefault="00BD37FA">
      <w:pPr>
        <w:pBdr>
          <w:bottom w:val="single" w:sz="4" w:space="1" w:color="auto"/>
        </w:pBdr>
        <w:jc w:val="both"/>
        <w:rPr>
          <w:rFonts w:ascii="Times New Roman" w:hAnsi="Times New Roman"/>
          <w:sz w:val="16"/>
        </w:rPr>
      </w:pPr>
    </w:p>
    <w:p w14:paraId="1D164F55" w14:textId="77777777" w:rsidR="00BD37FA" w:rsidRDefault="00BD37FA">
      <w:pPr>
        <w:pBdr>
          <w:bottom w:val="single" w:sz="4" w:space="1" w:color="auto"/>
        </w:pBdr>
        <w:jc w:val="both"/>
        <w:rPr>
          <w:rFonts w:ascii="Times New Roman" w:hAnsi="Times New Roman"/>
          <w:sz w:val="16"/>
        </w:rPr>
      </w:pPr>
    </w:p>
    <w:p w14:paraId="7BEE3DA7" w14:textId="77777777" w:rsidR="00BD37FA" w:rsidRDefault="00BD37FA">
      <w:pPr>
        <w:pBdr>
          <w:bottom w:val="single" w:sz="4" w:space="1" w:color="auto"/>
        </w:pBdr>
        <w:jc w:val="both"/>
        <w:rPr>
          <w:rFonts w:ascii="Times New Roman" w:hAnsi="Times New Roman"/>
          <w:sz w:val="16"/>
        </w:rPr>
      </w:pPr>
    </w:p>
    <w:p w14:paraId="7DC01E55" w14:textId="77777777" w:rsidR="00BD37FA" w:rsidRDefault="00BD37FA">
      <w:pPr>
        <w:pBdr>
          <w:bottom w:val="single" w:sz="4" w:space="1" w:color="auto"/>
        </w:pBdr>
        <w:jc w:val="both"/>
        <w:rPr>
          <w:rFonts w:ascii="Times New Roman" w:hAnsi="Times New Roman"/>
          <w:sz w:val="16"/>
        </w:rPr>
      </w:pPr>
    </w:p>
    <w:p w14:paraId="4E58AE05" w14:textId="77777777" w:rsidR="00BD37FA" w:rsidRDefault="00BD37FA">
      <w:pPr>
        <w:pBdr>
          <w:bottom w:val="single" w:sz="4" w:space="1" w:color="auto"/>
        </w:pBdr>
        <w:jc w:val="both"/>
        <w:rPr>
          <w:rFonts w:ascii="Times New Roman" w:hAnsi="Times New Roman"/>
          <w:sz w:val="16"/>
        </w:rPr>
      </w:pPr>
    </w:p>
    <w:p w14:paraId="3B18DB7F" w14:textId="77777777" w:rsidR="00BD37FA" w:rsidRDefault="00BD37FA">
      <w:pPr>
        <w:pBdr>
          <w:bottom w:val="single" w:sz="4" w:space="1" w:color="auto"/>
        </w:pBdr>
        <w:jc w:val="both"/>
        <w:rPr>
          <w:rFonts w:ascii="Times New Roman" w:hAnsi="Times New Roman"/>
          <w:sz w:val="16"/>
        </w:rPr>
      </w:pPr>
    </w:p>
    <w:p w14:paraId="43A95D45" w14:textId="77777777" w:rsidR="00BD37FA" w:rsidRDefault="00BD37FA">
      <w:pPr>
        <w:pBdr>
          <w:bottom w:val="single" w:sz="4" w:space="1" w:color="auto"/>
        </w:pBdr>
        <w:jc w:val="both"/>
        <w:rPr>
          <w:rFonts w:ascii="Times New Roman" w:hAnsi="Times New Roman"/>
          <w:sz w:val="16"/>
        </w:rPr>
      </w:pPr>
    </w:p>
    <w:p w14:paraId="536BFA81" w14:textId="77777777" w:rsidR="00BD37FA" w:rsidRDefault="00BD37FA">
      <w:pPr>
        <w:pBdr>
          <w:bottom w:val="single" w:sz="4" w:space="1" w:color="auto"/>
        </w:pBdr>
        <w:jc w:val="both"/>
        <w:rPr>
          <w:rFonts w:ascii="Times New Roman" w:hAnsi="Times New Roman"/>
          <w:sz w:val="16"/>
        </w:rPr>
      </w:pPr>
    </w:p>
    <w:p w14:paraId="707609EA" w14:textId="77777777" w:rsidR="00BD37FA" w:rsidRDefault="00BD37FA">
      <w:pPr>
        <w:pBdr>
          <w:bottom w:val="single" w:sz="4" w:space="1" w:color="auto"/>
        </w:pBdr>
        <w:jc w:val="both"/>
        <w:rPr>
          <w:rFonts w:ascii="Times New Roman" w:hAnsi="Times New Roman"/>
          <w:sz w:val="16"/>
        </w:rPr>
      </w:pPr>
    </w:p>
    <w:p w14:paraId="7B675B27" w14:textId="77777777" w:rsidR="00BD37FA" w:rsidRDefault="00BD37FA">
      <w:pPr>
        <w:pBdr>
          <w:bottom w:val="single" w:sz="4" w:space="1" w:color="auto"/>
        </w:pBdr>
        <w:jc w:val="both"/>
        <w:rPr>
          <w:rFonts w:ascii="Times New Roman" w:hAnsi="Times New Roman"/>
          <w:sz w:val="16"/>
        </w:rPr>
      </w:pPr>
    </w:p>
    <w:p w14:paraId="4720DED4" w14:textId="77777777" w:rsidR="00BD37FA" w:rsidRDefault="00BD37FA">
      <w:pPr>
        <w:pBdr>
          <w:bottom w:val="single" w:sz="4" w:space="1" w:color="auto"/>
        </w:pBdr>
        <w:jc w:val="both"/>
        <w:rPr>
          <w:rFonts w:ascii="Times New Roman" w:hAnsi="Times New Roman"/>
          <w:sz w:val="16"/>
        </w:rPr>
      </w:pPr>
    </w:p>
    <w:p w14:paraId="53114800" w14:textId="77777777" w:rsidR="00BD37FA" w:rsidRDefault="00BD37FA">
      <w:pPr>
        <w:pBdr>
          <w:bottom w:val="single" w:sz="4" w:space="1" w:color="auto"/>
        </w:pBdr>
        <w:jc w:val="both"/>
        <w:rPr>
          <w:rFonts w:ascii="Times New Roman" w:hAnsi="Times New Roman"/>
          <w:sz w:val="16"/>
        </w:rPr>
      </w:pPr>
    </w:p>
    <w:p w14:paraId="590411CC" w14:textId="77777777" w:rsidR="00BD37FA" w:rsidRDefault="00BD37FA">
      <w:pPr>
        <w:pBdr>
          <w:bottom w:val="single" w:sz="4" w:space="1" w:color="auto"/>
        </w:pBdr>
        <w:jc w:val="both"/>
        <w:rPr>
          <w:rFonts w:ascii="Times New Roman" w:hAnsi="Times New Roman"/>
          <w:sz w:val="16"/>
        </w:rPr>
      </w:pPr>
    </w:p>
    <w:p w14:paraId="0C2BAB3C" w14:textId="77777777" w:rsidR="00BD37FA" w:rsidRDefault="00BD37FA">
      <w:pPr>
        <w:pBdr>
          <w:bottom w:val="single" w:sz="4" w:space="1" w:color="auto"/>
        </w:pBdr>
        <w:jc w:val="both"/>
        <w:rPr>
          <w:rFonts w:ascii="Times New Roman" w:hAnsi="Times New Roman"/>
          <w:sz w:val="16"/>
        </w:rPr>
      </w:pPr>
    </w:p>
    <w:p w14:paraId="0254D466" w14:textId="77777777" w:rsidR="00BD37FA" w:rsidRDefault="00BD37FA">
      <w:pPr>
        <w:pBdr>
          <w:bottom w:val="single" w:sz="4" w:space="1" w:color="auto"/>
        </w:pBdr>
        <w:jc w:val="both"/>
        <w:rPr>
          <w:rFonts w:ascii="Times New Roman" w:hAnsi="Times New Roman"/>
          <w:sz w:val="16"/>
        </w:rPr>
      </w:pPr>
    </w:p>
    <w:p w14:paraId="0B64F7FE" w14:textId="77777777" w:rsidR="00BD37FA" w:rsidRDefault="00BD37FA">
      <w:pPr>
        <w:pBdr>
          <w:bottom w:val="single" w:sz="4" w:space="1" w:color="auto"/>
        </w:pBdr>
        <w:jc w:val="both"/>
        <w:rPr>
          <w:rFonts w:ascii="Times New Roman" w:hAnsi="Times New Roman"/>
          <w:sz w:val="16"/>
        </w:rPr>
      </w:pPr>
    </w:p>
    <w:p w14:paraId="3B8A81D3" w14:textId="77777777" w:rsidR="00BD37FA" w:rsidRDefault="00BD37FA">
      <w:pPr>
        <w:pBdr>
          <w:bottom w:val="single" w:sz="4" w:space="1" w:color="auto"/>
        </w:pBdr>
        <w:jc w:val="both"/>
        <w:rPr>
          <w:rFonts w:ascii="Times New Roman" w:hAnsi="Times New Roman"/>
          <w:sz w:val="16"/>
        </w:rPr>
      </w:pPr>
    </w:p>
    <w:p w14:paraId="4BA34F1D" w14:textId="77777777" w:rsidR="00BD37FA" w:rsidRDefault="00BD37FA">
      <w:pPr>
        <w:pBdr>
          <w:bottom w:val="single" w:sz="4" w:space="1" w:color="auto"/>
        </w:pBdr>
        <w:jc w:val="both"/>
        <w:rPr>
          <w:rFonts w:ascii="Times New Roman" w:hAnsi="Times New Roman"/>
          <w:sz w:val="16"/>
        </w:rPr>
      </w:pPr>
    </w:p>
    <w:p w14:paraId="531EE36D" w14:textId="77777777" w:rsidR="00BD37FA" w:rsidRDefault="00BD37FA">
      <w:pPr>
        <w:pBdr>
          <w:bottom w:val="single" w:sz="4" w:space="1" w:color="auto"/>
        </w:pBdr>
        <w:jc w:val="both"/>
        <w:rPr>
          <w:rFonts w:ascii="Times New Roman" w:hAnsi="Times New Roman"/>
          <w:sz w:val="16"/>
        </w:rPr>
      </w:pPr>
    </w:p>
    <w:p w14:paraId="6307A8E8" w14:textId="77777777" w:rsidR="00BD37FA" w:rsidRDefault="00BD37FA">
      <w:pPr>
        <w:pBdr>
          <w:bottom w:val="single" w:sz="4" w:space="1" w:color="auto"/>
        </w:pBdr>
        <w:jc w:val="both"/>
        <w:rPr>
          <w:rFonts w:ascii="Times New Roman" w:hAnsi="Times New Roman"/>
          <w:sz w:val="16"/>
        </w:rPr>
      </w:pPr>
    </w:p>
    <w:p w14:paraId="37E7C418" w14:textId="77777777" w:rsidR="00BD37FA" w:rsidRDefault="00BD37FA">
      <w:pPr>
        <w:pBdr>
          <w:bottom w:val="single" w:sz="4" w:space="1" w:color="auto"/>
        </w:pBdr>
        <w:jc w:val="both"/>
        <w:rPr>
          <w:rFonts w:ascii="Times New Roman" w:hAnsi="Times New Roman"/>
          <w:sz w:val="16"/>
        </w:rPr>
      </w:pPr>
    </w:p>
    <w:p w14:paraId="515A9134" w14:textId="77777777" w:rsidR="00BD37FA" w:rsidRDefault="00BD37FA">
      <w:pPr>
        <w:pBdr>
          <w:bottom w:val="single" w:sz="4" w:space="1" w:color="auto"/>
        </w:pBdr>
        <w:jc w:val="both"/>
        <w:rPr>
          <w:rFonts w:ascii="Times New Roman" w:hAnsi="Times New Roman"/>
          <w:sz w:val="16"/>
        </w:rPr>
      </w:pPr>
    </w:p>
    <w:p w14:paraId="1A81527B" w14:textId="77777777" w:rsidR="00BD37FA" w:rsidRDefault="00BD37FA">
      <w:pPr>
        <w:pBdr>
          <w:bottom w:val="single" w:sz="4" w:space="1" w:color="auto"/>
        </w:pBdr>
        <w:jc w:val="both"/>
        <w:rPr>
          <w:rFonts w:ascii="Times New Roman" w:hAnsi="Times New Roman"/>
          <w:sz w:val="16"/>
        </w:rPr>
      </w:pPr>
    </w:p>
    <w:p w14:paraId="6E46034F" w14:textId="77777777" w:rsidR="00BD37FA" w:rsidRDefault="00BD37FA">
      <w:pPr>
        <w:pBdr>
          <w:bottom w:val="single" w:sz="4" w:space="1" w:color="auto"/>
        </w:pBdr>
        <w:jc w:val="both"/>
        <w:rPr>
          <w:rFonts w:ascii="Times New Roman" w:hAnsi="Times New Roman"/>
          <w:sz w:val="16"/>
        </w:rPr>
      </w:pPr>
    </w:p>
    <w:p w14:paraId="0EF9EA9C" w14:textId="77777777" w:rsidR="00BD37FA" w:rsidRDefault="00BD37FA">
      <w:pPr>
        <w:pBdr>
          <w:bottom w:val="single" w:sz="4" w:space="1" w:color="auto"/>
        </w:pBdr>
        <w:jc w:val="both"/>
        <w:rPr>
          <w:rFonts w:ascii="Times New Roman" w:hAnsi="Times New Roman"/>
          <w:sz w:val="16"/>
        </w:rPr>
      </w:pPr>
    </w:p>
    <w:p w14:paraId="24AA0E5B" w14:textId="77777777" w:rsidR="00BD37FA" w:rsidRDefault="00BD37FA">
      <w:pPr>
        <w:pBdr>
          <w:bottom w:val="single" w:sz="4" w:space="1" w:color="auto"/>
        </w:pBdr>
        <w:jc w:val="both"/>
        <w:rPr>
          <w:rFonts w:ascii="Times New Roman" w:hAnsi="Times New Roman"/>
          <w:sz w:val="16"/>
        </w:rPr>
      </w:pPr>
    </w:p>
    <w:p w14:paraId="2AF58EEE" w14:textId="77777777" w:rsidR="00BD37FA" w:rsidRDefault="00BD37FA">
      <w:pPr>
        <w:pBdr>
          <w:bottom w:val="single" w:sz="4" w:space="1" w:color="auto"/>
        </w:pBdr>
        <w:jc w:val="both"/>
        <w:rPr>
          <w:rFonts w:ascii="Times New Roman" w:hAnsi="Times New Roman"/>
          <w:sz w:val="16"/>
        </w:rPr>
      </w:pPr>
    </w:p>
    <w:p w14:paraId="2978FA15" w14:textId="77777777" w:rsidR="00BD37FA" w:rsidRDefault="00BD37FA">
      <w:pPr>
        <w:pBdr>
          <w:bottom w:val="single" w:sz="4" w:space="1" w:color="auto"/>
        </w:pBdr>
        <w:jc w:val="both"/>
        <w:rPr>
          <w:rFonts w:ascii="Times New Roman" w:hAnsi="Times New Roman"/>
          <w:sz w:val="16"/>
        </w:rPr>
      </w:pPr>
    </w:p>
    <w:p w14:paraId="211EC542" w14:textId="77777777" w:rsidR="00BD37FA" w:rsidRDefault="00BD37FA">
      <w:pPr>
        <w:pBdr>
          <w:bottom w:val="single" w:sz="4" w:space="1" w:color="auto"/>
        </w:pBdr>
        <w:jc w:val="both"/>
        <w:rPr>
          <w:rFonts w:ascii="Times New Roman" w:hAnsi="Times New Roman"/>
          <w:sz w:val="16"/>
        </w:rPr>
      </w:pPr>
    </w:p>
    <w:p w14:paraId="34822F59" w14:textId="77777777" w:rsidR="00BD37FA" w:rsidRDefault="00BD37FA">
      <w:pPr>
        <w:pBdr>
          <w:bottom w:val="single" w:sz="4" w:space="1" w:color="auto"/>
        </w:pBdr>
        <w:jc w:val="both"/>
        <w:rPr>
          <w:rFonts w:ascii="Times New Roman" w:hAnsi="Times New Roman"/>
          <w:sz w:val="16"/>
        </w:rPr>
      </w:pPr>
    </w:p>
    <w:p w14:paraId="015F2FEB" w14:textId="77777777" w:rsidR="00BD37FA" w:rsidRDefault="00BD37FA">
      <w:pPr>
        <w:pBdr>
          <w:bottom w:val="single" w:sz="4" w:space="1" w:color="auto"/>
        </w:pBdr>
        <w:jc w:val="both"/>
        <w:rPr>
          <w:rFonts w:ascii="Times New Roman" w:hAnsi="Times New Roman"/>
          <w:sz w:val="16"/>
        </w:rPr>
      </w:pPr>
    </w:p>
    <w:p w14:paraId="3BBE01E5" w14:textId="77777777" w:rsidR="00BD37FA" w:rsidRDefault="00BD37FA">
      <w:pPr>
        <w:pBdr>
          <w:bottom w:val="single" w:sz="4" w:space="1" w:color="auto"/>
        </w:pBdr>
        <w:jc w:val="both"/>
        <w:rPr>
          <w:rFonts w:ascii="Times New Roman" w:hAnsi="Times New Roman"/>
          <w:sz w:val="16"/>
        </w:rPr>
      </w:pPr>
    </w:p>
    <w:p w14:paraId="035B7887" w14:textId="77777777" w:rsidR="00BD37FA" w:rsidRDefault="00BD37FA">
      <w:pPr>
        <w:pBdr>
          <w:bottom w:val="single" w:sz="4" w:space="1" w:color="auto"/>
        </w:pBdr>
        <w:jc w:val="both"/>
        <w:rPr>
          <w:rFonts w:ascii="Times New Roman" w:hAnsi="Times New Roman"/>
          <w:sz w:val="16"/>
        </w:rPr>
      </w:pPr>
    </w:p>
    <w:p w14:paraId="672B72CF" w14:textId="77777777" w:rsidR="00BD37FA" w:rsidRDefault="00BD37FA">
      <w:pPr>
        <w:pBdr>
          <w:bottom w:val="single" w:sz="4" w:space="1" w:color="auto"/>
        </w:pBdr>
        <w:jc w:val="both"/>
        <w:rPr>
          <w:rFonts w:ascii="Times New Roman" w:hAnsi="Times New Roman"/>
          <w:sz w:val="16"/>
        </w:rPr>
      </w:pPr>
    </w:p>
    <w:p w14:paraId="08E07001" w14:textId="77777777" w:rsidR="00BD37FA" w:rsidRDefault="00BD37FA">
      <w:pPr>
        <w:pBdr>
          <w:bottom w:val="single" w:sz="4" w:space="1" w:color="auto"/>
        </w:pBdr>
        <w:jc w:val="both"/>
        <w:rPr>
          <w:rFonts w:ascii="Times New Roman" w:hAnsi="Times New Roman"/>
          <w:sz w:val="16"/>
        </w:rPr>
      </w:pPr>
    </w:p>
    <w:p w14:paraId="2535930F" w14:textId="77777777" w:rsidR="00BD37FA" w:rsidRDefault="00BD37FA">
      <w:pPr>
        <w:pBdr>
          <w:bottom w:val="single" w:sz="4" w:space="1" w:color="auto"/>
        </w:pBdr>
        <w:jc w:val="both"/>
        <w:rPr>
          <w:rFonts w:ascii="Times New Roman" w:hAnsi="Times New Roman"/>
          <w:sz w:val="16"/>
        </w:rPr>
      </w:pPr>
    </w:p>
    <w:p w14:paraId="13575EE0" w14:textId="77777777" w:rsidR="00BD37FA" w:rsidRDefault="00BD37FA">
      <w:pPr>
        <w:pBdr>
          <w:bottom w:val="single" w:sz="4" w:space="1" w:color="auto"/>
        </w:pBdr>
        <w:jc w:val="both"/>
        <w:rPr>
          <w:rFonts w:ascii="Times New Roman" w:hAnsi="Times New Roman"/>
          <w:sz w:val="16"/>
        </w:rPr>
      </w:pPr>
    </w:p>
    <w:p w14:paraId="19DF623D" w14:textId="77777777" w:rsidR="00BD37FA" w:rsidRDefault="00BD37FA">
      <w:pPr>
        <w:pBdr>
          <w:bottom w:val="single" w:sz="4" w:space="1" w:color="auto"/>
        </w:pBdr>
        <w:jc w:val="both"/>
        <w:rPr>
          <w:rFonts w:ascii="Times New Roman" w:hAnsi="Times New Roman"/>
          <w:sz w:val="16"/>
        </w:rPr>
      </w:pPr>
    </w:p>
    <w:p w14:paraId="29C86DBE" w14:textId="77777777" w:rsidR="00BD37FA" w:rsidRDefault="00BD37FA">
      <w:pPr>
        <w:pBdr>
          <w:bottom w:val="single" w:sz="4" w:space="1" w:color="auto"/>
        </w:pBdr>
        <w:jc w:val="both"/>
        <w:rPr>
          <w:rFonts w:ascii="Times New Roman" w:hAnsi="Times New Roman"/>
          <w:sz w:val="16"/>
        </w:rPr>
      </w:pPr>
    </w:p>
    <w:p w14:paraId="0926D29E" w14:textId="77777777" w:rsidR="00BD37FA" w:rsidRDefault="00BD37FA">
      <w:pPr>
        <w:pBdr>
          <w:bottom w:val="single" w:sz="4" w:space="1" w:color="auto"/>
        </w:pBdr>
        <w:jc w:val="both"/>
        <w:rPr>
          <w:rFonts w:ascii="Times New Roman" w:hAnsi="Times New Roman"/>
          <w:sz w:val="16"/>
        </w:rPr>
      </w:pPr>
    </w:p>
    <w:p w14:paraId="316A9A8B" w14:textId="77777777" w:rsidR="00BD37FA" w:rsidRDefault="00BD37FA">
      <w:pPr>
        <w:pBdr>
          <w:bottom w:val="single" w:sz="4" w:space="1" w:color="auto"/>
        </w:pBdr>
        <w:jc w:val="both"/>
        <w:rPr>
          <w:rFonts w:ascii="Times New Roman" w:hAnsi="Times New Roman"/>
          <w:sz w:val="16"/>
        </w:rPr>
      </w:pPr>
    </w:p>
    <w:p w14:paraId="61B7813D" w14:textId="77777777" w:rsidR="00BD37FA" w:rsidRDefault="00BD37FA">
      <w:pPr>
        <w:pBdr>
          <w:bottom w:val="single" w:sz="4" w:space="1" w:color="auto"/>
        </w:pBdr>
        <w:jc w:val="both"/>
        <w:rPr>
          <w:rFonts w:ascii="Times New Roman" w:hAnsi="Times New Roman"/>
          <w:sz w:val="16"/>
        </w:rPr>
      </w:pPr>
    </w:p>
    <w:p w14:paraId="57E5EA95" w14:textId="77777777" w:rsidR="00BD37FA" w:rsidRDefault="00BD37FA">
      <w:pPr>
        <w:pBdr>
          <w:bottom w:val="single" w:sz="4" w:space="1" w:color="auto"/>
        </w:pBdr>
        <w:jc w:val="both"/>
        <w:rPr>
          <w:rFonts w:ascii="Times New Roman" w:hAnsi="Times New Roman"/>
          <w:sz w:val="16"/>
        </w:rPr>
      </w:pPr>
    </w:p>
    <w:p w14:paraId="2A6545C6" w14:textId="77777777" w:rsidR="00BD37FA" w:rsidRDefault="00BD37FA">
      <w:pPr>
        <w:pBdr>
          <w:bottom w:val="single" w:sz="4" w:space="1" w:color="auto"/>
        </w:pBdr>
        <w:jc w:val="both"/>
        <w:rPr>
          <w:rFonts w:ascii="Times New Roman" w:hAnsi="Times New Roman"/>
          <w:sz w:val="16"/>
        </w:rPr>
      </w:pPr>
    </w:p>
    <w:p w14:paraId="0A328923" w14:textId="77777777" w:rsidR="00BD37FA" w:rsidRDefault="00BD37FA">
      <w:pPr>
        <w:pBdr>
          <w:bottom w:val="single" w:sz="4" w:space="1" w:color="auto"/>
        </w:pBdr>
        <w:jc w:val="both"/>
        <w:rPr>
          <w:rFonts w:ascii="Times New Roman" w:hAnsi="Times New Roman"/>
          <w:sz w:val="16"/>
        </w:rPr>
      </w:pPr>
    </w:p>
    <w:p w14:paraId="4FC3ACC6" w14:textId="77777777" w:rsidR="00BD37FA" w:rsidRDefault="00BD37FA">
      <w:pPr>
        <w:pBdr>
          <w:bottom w:val="single" w:sz="4" w:space="1" w:color="auto"/>
        </w:pBdr>
        <w:jc w:val="both"/>
        <w:rPr>
          <w:rFonts w:ascii="Times New Roman" w:hAnsi="Times New Roman"/>
          <w:sz w:val="16"/>
        </w:rPr>
      </w:pPr>
    </w:p>
    <w:p w14:paraId="20C81673" w14:textId="77777777" w:rsidR="00BD37FA" w:rsidRDefault="00BD37FA">
      <w:pPr>
        <w:pBdr>
          <w:bottom w:val="single" w:sz="4" w:space="1" w:color="auto"/>
        </w:pBdr>
        <w:jc w:val="both"/>
        <w:rPr>
          <w:rFonts w:ascii="Times New Roman" w:hAnsi="Times New Roman"/>
          <w:sz w:val="16"/>
        </w:rPr>
      </w:pPr>
    </w:p>
    <w:p w14:paraId="3712108C" w14:textId="77777777" w:rsidR="00BD37FA" w:rsidRDefault="00BD37FA">
      <w:pPr>
        <w:pBdr>
          <w:bottom w:val="single" w:sz="4" w:space="1" w:color="auto"/>
        </w:pBdr>
        <w:jc w:val="both"/>
        <w:rPr>
          <w:rFonts w:ascii="Times New Roman" w:hAnsi="Times New Roman"/>
          <w:sz w:val="16"/>
        </w:rPr>
      </w:pPr>
    </w:p>
    <w:p w14:paraId="4B118B5F" w14:textId="77777777" w:rsidR="00BD37FA" w:rsidRDefault="00BD37FA">
      <w:pPr>
        <w:pBdr>
          <w:bottom w:val="single" w:sz="4" w:space="1" w:color="auto"/>
        </w:pBdr>
        <w:jc w:val="both"/>
        <w:rPr>
          <w:rFonts w:ascii="Times New Roman" w:hAnsi="Times New Roman"/>
          <w:sz w:val="16"/>
        </w:rPr>
      </w:pPr>
    </w:p>
    <w:p w14:paraId="7B1CA468" w14:textId="77777777" w:rsidR="00BD37FA" w:rsidRDefault="00BD37FA">
      <w:pPr>
        <w:pBdr>
          <w:bottom w:val="single" w:sz="4" w:space="1" w:color="auto"/>
        </w:pBdr>
        <w:jc w:val="both"/>
        <w:rPr>
          <w:rFonts w:ascii="Times New Roman" w:hAnsi="Times New Roman"/>
          <w:sz w:val="16"/>
        </w:rPr>
      </w:pPr>
    </w:p>
    <w:p w14:paraId="14DC3560" w14:textId="77777777" w:rsidR="00BD37FA" w:rsidRDefault="00BD37FA">
      <w:pPr>
        <w:pBdr>
          <w:bottom w:val="single" w:sz="4" w:space="1" w:color="auto"/>
        </w:pBdr>
        <w:jc w:val="both"/>
        <w:rPr>
          <w:rFonts w:ascii="Times New Roman" w:hAnsi="Times New Roman"/>
          <w:sz w:val="16"/>
        </w:rPr>
      </w:pPr>
    </w:p>
    <w:p w14:paraId="5EF866A2" w14:textId="77777777" w:rsidR="00BD37FA" w:rsidRDefault="00BD37FA">
      <w:pPr>
        <w:pBdr>
          <w:bottom w:val="single" w:sz="4" w:space="1" w:color="auto"/>
        </w:pBdr>
        <w:jc w:val="both"/>
        <w:rPr>
          <w:rFonts w:ascii="Times New Roman" w:hAnsi="Times New Roman"/>
          <w:sz w:val="16"/>
        </w:rPr>
      </w:pPr>
    </w:p>
    <w:p w14:paraId="7A864EFB" w14:textId="77777777" w:rsidR="00BD37FA" w:rsidRDefault="00BD37FA">
      <w:pPr>
        <w:pBdr>
          <w:bottom w:val="single" w:sz="4" w:space="1" w:color="auto"/>
        </w:pBdr>
        <w:jc w:val="both"/>
        <w:rPr>
          <w:rFonts w:ascii="Times New Roman" w:hAnsi="Times New Roman"/>
          <w:sz w:val="16"/>
        </w:rPr>
      </w:pPr>
    </w:p>
    <w:p w14:paraId="0D90F63D" w14:textId="77777777" w:rsidR="00BD37FA" w:rsidRDefault="00BD37FA">
      <w:pPr>
        <w:pBdr>
          <w:bottom w:val="single" w:sz="4" w:space="1" w:color="auto"/>
        </w:pBdr>
        <w:jc w:val="both"/>
        <w:rPr>
          <w:rFonts w:ascii="Times New Roman" w:hAnsi="Times New Roman"/>
          <w:sz w:val="16"/>
        </w:rPr>
      </w:pPr>
    </w:p>
    <w:p w14:paraId="0D4329CD" w14:textId="77777777" w:rsidR="00BD37FA" w:rsidRDefault="00BD37FA">
      <w:pPr>
        <w:pBdr>
          <w:bottom w:val="single" w:sz="4" w:space="1" w:color="auto"/>
        </w:pBdr>
        <w:jc w:val="both"/>
        <w:rPr>
          <w:rFonts w:ascii="Times New Roman" w:hAnsi="Times New Roman"/>
          <w:sz w:val="16"/>
        </w:rPr>
      </w:pPr>
    </w:p>
    <w:p w14:paraId="64A75451" w14:textId="77777777" w:rsidR="00BD37FA" w:rsidRDefault="00BD37FA">
      <w:pPr>
        <w:pBdr>
          <w:bottom w:val="single" w:sz="4" w:space="1" w:color="auto"/>
        </w:pBdr>
        <w:jc w:val="both"/>
        <w:rPr>
          <w:rFonts w:ascii="Times New Roman" w:hAnsi="Times New Roman"/>
          <w:sz w:val="16"/>
        </w:rPr>
      </w:pPr>
    </w:p>
    <w:p w14:paraId="025AA622" w14:textId="77777777" w:rsidR="00BD37FA" w:rsidRDefault="00BD37FA">
      <w:pPr>
        <w:pBdr>
          <w:bottom w:val="single" w:sz="4" w:space="1" w:color="auto"/>
        </w:pBdr>
        <w:jc w:val="both"/>
        <w:rPr>
          <w:rFonts w:ascii="Times New Roman" w:hAnsi="Times New Roman"/>
          <w:sz w:val="16"/>
        </w:rPr>
      </w:pPr>
    </w:p>
    <w:p w14:paraId="46C792F1" w14:textId="77777777" w:rsidR="00843FF1" w:rsidRDefault="00843FF1">
      <w:pPr>
        <w:pBdr>
          <w:bottom w:val="single" w:sz="4" w:space="1" w:color="auto"/>
        </w:pBdr>
        <w:jc w:val="both"/>
        <w:rPr>
          <w:rFonts w:ascii="Times New Roman" w:hAnsi="Times New Roman"/>
          <w:sz w:val="16"/>
        </w:rPr>
      </w:pPr>
    </w:p>
    <w:p w14:paraId="3562C179" w14:textId="77777777" w:rsidR="00BD37FA" w:rsidRDefault="00BD37FA">
      <w:pPr>
        <w:pBdr>
          <w:bottom w:val="single" w:sz="4" w:space="1" w:color="auto"/>
        </w:pBdr>
        <w:jc w:val="both"/>
        <w:rPr>
          <w:rFonts w:ascii="Times New Roman" w:hAnsi="Times New Roman"/>
          <w:sz w:val="16"/>
        </w:rPr>
      </w:pPr>
    </w:p>
    <w:p w14:paraId="28A51CB2" w14:textId="326196B9" w:rsidR="00BD37FA" w:rsidRDefault="00154750">
      <w:pPr>
        <w:pBdr>
          <w:bottom w:val="single" w:sz="4" w:space="1" w:color="auto"/>
        </w:pBdr>
        <w:jc w:val="both"/>
        <w:rPr>
          <w:rFonts w:ascii="Times New Roman" w:hAnsi="Times New Roman"/>
          <w:sz w:val="16"/>
        </w:rPr>
      </w:pPr>
      <w:r w:rsidRPr="00154750">
        <w:rPr>
          <w:rFonts w:ascii="Times New Roman" w:hAnsi="Times New Roman"/>
          <w:b/>
          <w:sz w:val="24"/>
        </w:rPr>
        <w:t xml:space="preserve">Appendix </w:t>
      </w:r>
      <w:r w:rsidR="00A04E47">
        <w:rPr>
          <w:rFonts w:ascii="Times New Roman" w:hAnsi="Times New Roman"/>
          <w:b/>
          <w:sz w:val="24"/>
        </w:rPr>
        <w:t xml:space="preserve">8: </w:t>
      </w:r>
    </w:p>
    <w:p w14:paraId="523A2A13" w14:textId="06C99472" w:rsidR="001F7544" w:rsidRDefault="00BD37FA">
      <w:pPr>
        <w:pBdr>
          <w:bottom w:val="single" w:sz="4" w:space="1" w:color="auto"/>
        </w:pBdr>
        <w:jc w:val="both"/>
        <w:rPr>
          <w:rFonts w:ascii="Times New Roman" w:hAnsi="Times New Roman"/>
          <w:sz w:val="16"/>
        </w:rPr>
      </w:pPr>
      <w:r>
        <w:rPr>
          <w:noProof/>
          <w:lang w:val="en-CA" w:eastAsia="en-CA"/>
        </w:rPr>
        <w:drawing>
          <wp:inline distT="0" distB="0" distL="0" distR="0" wp14:anchorId="3BA6E04B" wp14:editId="708517AA">
            <wp:extent cx="6404610" cy="2987921"/>
            <wp:effectExtent l="0" t="0" r="0" b="3175"/>
            <wp:docPr id="520" name="Picture 520" descr="Canada Disposable Personal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ada Disposable Personal Incom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4610" cy="2987921"/>
                    </a:xfrm>
                    <a:prstGeom prst="rect">
                      <a:avLst/>
                    </a:prstGeom>
                    <a:noFill/>
                    <a:ln>
                      <a:noFill/>
                    </a:ln>
                  </pic:spPr>
                </pic:pic>
              </a:graphicData>
            </a:graphic>
          </wp:inline>
        </w:drawing>
      </w:r>
    </w:p>
    <w:p w14:paraId="5E2F7774" w14:textId="04CAA403" w:rsidR="00A07A4B" w:rsidRDefault="000967CD">
      <w:pPr>
        <w:pBdr>
          <w:bottom w:val="single" w:sz="4" w:space="1" w:color="auto"/>
        </w:pBdr>
        <w:jc w:val="both"/>
        <w:rPr>
          <w:rFonts w:ascii="Times New Roman" w:hAnsi="Times New Roman"/>
          <w:sz w:val="16"/>
        </w:rPr>
      </w:pPr>
      <w:r>
        <w:rPr>
          <w:rFonts w:ascii="Times New Roman" w:hAnsi="Times New Roman"/>
          <w:sz w:val="16"/>
        </w:rPr>
        <w:t xml:space="preserve">Source: </w:t>
      </w:r>
      <w:r w:rsidR="00A07A4B">
        <w:rPr>
          <w:rFonts w:ascii="Times New Roman" w:hAnsi="Times New Roman"/>
          <w:sz w:val="16"/>
        </w:rPr>
        <w:t>Statistics Canada</w:t>
      </w:r>
    </w:p>
    <w:p w14:paraId="173D333C" w14:textId="77777777" w:rsidR="00A04E47" w:rsidRDefault="00A04E47">
      <w:pPr>
        <w:pBdr>
          <w:bottom w:val="single" w:sz="4" w:space="1" w:color="auto"/>
        </w:pBdr>
        <w:jc w:val="both"/>
        <w:rPr>
          <w:rFonts w:ascii="Times New Roman" w:hAnsi="Times New Roman"/>
          <w:sz w:val="16"/>
        </w:rPr>
      </w:pPr>
    </w:p>
    <w:p w14:paraId="21E3451F" w14:textId="77777777" w:rsidR="00A04E47" w:rsidRDefault="00A04E47">
      <w:pPr>
        <w:pBdr>
          <w:bottom w:val="single" w:sz="4" w:space="1" w:color="auto"/>
        </w:pBdr>
        <w:jc w:val="both"/>
        <w:rPr>
          <w:rFonts w:ascii="Times New Roman" w:hAnsi="Times New Roman"/>
          <w:sz w:val="16"/>
        </w:rPr>
      </w:pPr>
    </w:p>
    <w:p w14:paraId="26DF72F0" w14:textId="3B54D647" w:rsidR="00A04E47" w:rsidRDefault="00A04E47">
      <w:pPr>
        <w:pBdr>
          <w:bottom w:val="single" w:sz="4" w:space="1" w:color="auto"/>
        </w:pBdr>
        <w:jc w:val="both"/>
        <w:rPr>
          <w:rFonts w:ascii="Times New Roman" w:hAnsi="Times New Roman"/>
          <w:sz w:val="16"/>
        </w:rPr>
      </w:pPr>
    </w:p>
    <w:p w14:paraId="65492179" w14:textId="3E3DEA86" w:rsidR="00A04E47" w:rsidRDefault="00A04E47">
      <w:pPr>
        <w:pBdr>
          <w:bottom w:val="single" w:sz="4" w:space="1" w:color="auto"/>
        </w:pBdr>
        <w:jc w:val="both"/>
        <w:rPr>
          <w:rFonts w:ascii="Times New Roman" w:hAnsi="Times New Roman"/>
          <w:sz w:val="16"/>
        </w:rPr>
      </w:pPr>
    </w:p>
    <w:p w14:paraId="41961951" w14:textId="77777777" w:rsidR="00A04E47" w:rsidRDefault="00A04E47">
      <w:pPr>
        <w:pBdr>
          <w:bottom w:val="single" w:sz="4" w:space="1" w:color="auto"/>
        </w:pBdr>
        <w:jc w:val="both"/>
        <w:rPr>
          <w:rFonts w:ascii="Times New Roman" w:hAnsi="Times New Roman"/>
          <w:sz w:val="16"/>
        </w:rPr>
      </w:pPr>
    </w:p>
    <w:p w14:paraId="365603A8" w14:textId="4B596908" w:rsidR="00A04E47" w:rsidRDefault="00A04E47">
      <w:pPr>
        <w:pBdr>
          <w:bottom w:val="single" w:sz="4" w:space="1" w:color="auto"/>
        </w:pBdr>
        <w:jc w:val="both"/>
        <w:rPr>
          <w:rFonts w:ascii="Times New Roman" w:hAnsi="Times New Roman"/>
          <w:sz w:val="16"/>
        </w:rPr>
      </w:pPr>
    </w:p>
    <w:p w14:paraId="1CD70599" w14:textId="45D18DD1" w:rsidR="00A04E47" w:rsidRDefault="00A04E47">
      <w:pPr>
        <w:pBdr>
          <w:bottom w:val="single" w:sz="4" w:space="1" w:color="auto"/>
        </w:pBdr>
        <w:jc w:val="both"/>
        <w:rPr>
          <w:rFonts w:ascii="Times New Roman" w:hAnsi="Times New Roman"/>
          <w:sz w:val="16"/>
        </w:rPr>
      </w:pPr>
    </w:p>
    <w:p w14:paraId="7FFE6F95" w14:textId="77777777" w:rsidR="00A04E47" w:rsidRDefault="00A04E47">
      <w:pPr>
        <w:pBdr>
          <w:bottom w:val="single" w:sz="4" w:space="1" w:color="auto"/>
        </w:pBdr>
        <w:jc w:val="both"/>
        <w:rPr>
          <w:rFonts w:ascii="Times New Roman" w:hAnsi="Times New Roman"/>
          <w:sz w:val="16"/>
        </w:rPr>
      </w:pPr>
    </w:p>
    <w:p w14:paraId="5F0B9F63" w14:textId="0E4E9198" w:rsidR="00A04E47" w:rsidRDefault="00A04E47">
      <w:pPr>
        <w:pBdr>
          <w:bottom w:val="single" w:sz="4" w:space="1" w:color="auto"/>
        </w:pBdr>
        <w:jc w:val="both"/>
        <w:rPr>
          <w:rFonts w:ascii="Times New Roman" w:hAnsi="Times New Roman"/>
          <w:sz w:val="16"/>
        </w:rPr>
      </w:pPr>
    </w:p>
    <w:p w14:paraId="5BEE8755" w14:textId="4B26E426" w:rsidR="00A04E47" w:rsidRDefault="00A04E47">
      <w:pPr>
        <w:pBdr>
          <w:bottom w:val="single" w:sz="4" w:space="1" w:color="auto"/>
        </w:pBdr>
        <w:jc w:val="both"/>
        <w:rPr>
          <w:rFonts w:ascii="Times New Roman" w:hAnsi="Times New Roman"/>
          <w:sz w:val="16"/>
        </w:rPr>
      </w:pPr>
    </w:p>
    <w:p w14:paraId="68CAB712" w14:textId="5050C66A" w:rsidR="00A04E47" w:rsidRDefault="00A04E47">
      <w:pPr>
        <w:pBdr>
          <w:bottom w:val="single" w:sz="4" w:space="1" w:color="auto"/>
        </w:pBdr>
        <w:jc w:val="both"/>
        <w:rPr>
          <w:rFonts w:ascii="Times New Roman" w:hAnsi="Times New Roman"/>
          <w:sz w:val="16"/>
        </w:rPr>
      </w:pPr>
    </w:p>
    <w:p w14:paraId="43DE1CA8" w14:textId="25E8DCC8" w:rsidR="00A04E47" w:rsidRDefault="00A04E47">
      <w:pPr>
        <w:pBdr>
          <w:bottom w:val="single" w:sz="4" w:space="1" w:color="auto"/>
        </w:pBdr>
        <w:jc w:val="both"/>
        <w:rPr>
          <w:rFonts w:ascii="Times New Roman" w:hAnsi="Times New Roman"/>
          <w:sz w:val="16"/>
        </w:rPr>
      </w:pPr>
    </w:p>
    <w:p w14:paraId="3AFE412F" w14:textId="1DC6F015" w:rsidR="00A04E47" w:rsidRDefault="00A04E47">
      <w:pPr>
        <w:pBdr>
          <w:bottom w:val="single" w:sz="4" w:space="1" w:color="auto"/>
        </w:pBdr>
        <w:jc w:val="both"/>
        <w:rPr>
          <w:rFonts w:ascii="Times New Roman" w:hAnsi="Times New Roman"/>
          <w:sz w:val="16"/>
        </w:rPr>
      </w:pPr>
    </w:p>
    <w:p w14:paraId="47176DFB" w14:textId="77777777" w:rsidR="00A04E47" w:rsidRDefault="00A04E47">
      <w:pPr>
        <w:pBdr>
          <w:bottom w:val="single" w:sz="4" w:space="1" w:color="auto"/>
        </w:pBdr>
        <w:jc w:val="both"/>
        <w:rPr>
          <w:rFonts w:ascii="Times New Roman" w:hAnsi="Times New Roman"/>
          <w:sz w:val="16"/>
        </w:rPr>
      </w:pPr>
    </w:p>
    <w:p w14:paraId="68E32214" w14:textId="3CAA5D35" w:rsidR="00A04E47" w:rsidRDefault="00A04E47">
      <w:pPr>
        <w:pBdr>
          <w:bottom w:val="single" w:sz="4" w:space="1" w:color="auto"/>
        </w:pBdr>
        <w:jc w:val="both"/>
        <w:rPr>
          <w:rFonts w:ascii="Times New Roman" w:hAnsi="Times New Roman"/>
          <w:sz w:val="16"/>
        </w:rPr>
      </w:pPr>
    </w:p>
    <w:p w14:paraId="6C9F48AE" w14:textId="5C1D2093" w:rsidR="00A04E47" w:rsidRDefault="00A04E47">
      <w:pPr>
        <w:pBdr>
          <w:bottom w:val="single" w:sz="4" w:space="1" w:color="auto"/>
        </w:pBdr>
        <w:jc w:val="both"/>
        <w:rPr>
          <w:rFonts w:ascii="Times New Roman" w:hAnsi="Times New Roman"/>
          <w:sz w:val="16"/>
        </w:rPr>
      </w:pPr>
    </w:p>
    <w:p w14:paraId="35B43F3C" w14:textId="43A6EA45" w:rsidR="00A04E47" w:rsidRDefault="00A04E47">
      <w:pPr>
        <w:pBdr>
          <w:bottom w:val="single" w:sz="4" w:space="1" w:color="auto"/>
        </w:pBdr>
        <w:jc w:val="both"/>
        <w:rPr>
          <w:rFonts w:ascii="Times New Roman" w:hAnsi="Times New Roman"/>
          <w:sz w:val="16"/>
        </w:rPr>
      </w:pPr>
    </w:p>
    <w:p w14:paraId="5EEABCBB" w14:textId="286F166C" w:rsidR="00A04E47" w:rsidRDefault="00A04E47">
      <w:pPr>
        <w:pBdr>
          <w:bottom w:val="single" w:sz="4" w:space="1" w:color="auto"/>
        </w:pBdr>
        <w:jc w:val="both"/>
        <w:rPr>
          <w:rFonts w:ascii="Times New Roman" w:hAnsi="Times New Roman"/>
          <w:sz w:val="16"/>
        </w:rPr>
      </w:pPr>
    </w:p>
    <w:p w14:paraId="6E574D43" w14:textId="77777777" w:rsidR="00A04E47" w:rsidRDefault="00A04E47">
      <w:pPr>
        <w:pBdr>
          <w:bottom w:val="single" w:sz="4" w:space="1" w:color="auto"/>
        </w:pBdr>
        <w:jc w:val="both"/>
        <w:rPr>
          <w:rFonts w:ascii="Times New Roman" w:hAnsi="Times New Roman"/>
          <w:sz w:val="16"/>
        </w:rPr>
      </w:pPr>
    </w:p>
    <w:p w14:paraId="263C02CB" w14:textId="48D442D2" w:rsidR="00A04E47" w:rsidRDefault="00A04E47">
      <w:pPr>
        <w:pBdr>
          <w:bottom w:val="single" w:sz="4" w:space="1" w:color="auto"/>
        </w:pBdr>
        <w:jc w:val="both"/>
        <w:rPr>
          <w:rFonts w:ascii="Times New Roman" w:hAnsi="Times New Roman"/>
          <w:sz w:val="16"/>
        </w:rPr>
      </w:pPr>
    </w:p>
    <w:p w14:paraId="6743FE89" w14:textId="5A8F60B3" w:rsidR="00A04E47" w:rsidRDefault="00A04E47">
      <w:pPr>
        <w:pBdr>
          <w:bottom w:val="single" w:sz="4" w:space="1" w:color="auto"/>
        </w:pBdr>
        <w:jc w:val="both"/>
        <w:rPr>
          <w:rFonts w:ascii="Times New Roman" w:hAnsi="Times New Roman"/>
          <w:sz w:val="16"/>
        </w:rPr>
      </w:pPr>
    </w:p>
    <w:p w14:paraId="3688B0FA" w14:textId="661B9D3A" w:rsidR="00A04E47" w:rsidRDefault="00A04E47">
      <w:pPr>
        <w:pBdr>
          <w:bottom w:val="single" w:sz="4" w:space="1" w:color="auto"/>
        </w:pBdr>
        <w:jc w:val="both"/>
        <w:rPr>
          <w:rFonts w:ascii="Times New Roman" w:hAnsi="Times New Roman"/>
          <w:sz w:val="16"/>
        </w:rPr>
      </w:pPr>
    </w:p>
    <w:p w14:paraId="34FA2D2E" w14:textId="77777777" w:rsidR="00A04E47" w:rsidRDefault="00A04E47">
      <w:pPr>
        <w:pBdr>
          <w:bottom w:val="single" w:sz="4" w:space="1" w:color="auto"/>
        </w:pBdr>
        <w:jc w:val="both"/>
        <w:rPr>
          <w:rFonts w:ascii="Times New Roman" w:hAnsi="Times New Roman"/>
          <w:sz w:val="16"/>
        </w:rPr>
      </w:pPr>
    </w:p>
    <w:p w14:paraId="7CA406B0" w14:textId="470B72EE" w:rsidR="00A04E47" w:rsidRDefault="00A04E47">
      <w:pPr>
        <w:pBdr>
          <w:bottom w:val="single" w:sz="4" w:space="1" w:color="auto"/>
        </w:pBdr>
        <w:jc w:val="both"/>
        <w:rPr>
          <w:rFonts w:ascii="Times New Roman" w:hAnsi="Times New Roman"/>
          <w:sz w:val="16"/>
        </w:rPr>
      </w:pPr>
    </w:p>
    <w:p w14:paraId="3BA18AFE" w14:textId="29C9B1EC" w:rsidR="00A04E47" w:rsidRDefault="00A04E47">
      <w:pPr>
        <w:pBdr>
          <w:bottom w:val="single" w:sz="4" w:space="1" w:color="auto"/>
        </w:pBdr>
        <w:jc w:val="both"/>
        <w:rPr>
          <w:rFonts w:ascii="Times New Roman" w:hAnsi="Times New Roman"/>
          <w:sz w:val="16"/>
        </w:rPr>
      </w:pPr>
    </w:p>
    <w:p w14:paraId="3F5E1242" w14:textId="567FDF19" w:rsidR="00A04E47" w:rsidRDefault="00A04E47">
      <w:pPr>
        <w:pBdr>
          <w:bottom w:val="single" w:sz="4" w:space="1" w:color="auto"/>
        </w:pBdr>
        <w:jc w:val="both"/>
        <w:rPr>
          <w:rFonts w:ascii="Times New Roman" w:hAnsi="Times New Roman"/>
          <w:sz w:val="16"/>
        </w:rPr>
      </w:pPr>
    </w:p>
    <w:p w14:paraId="16EF3B9B" w14:textId="77777777" w:rsidR="00A04E47" w:rsidRDefault="00A04E47">
      <w:pPr>
        <w:pBdr>
          <w:bottom w:val="single" w:sz="4" w:space="1" w:color="auto"/>
        </w:pBdr>
        <w:jc w:val="both"/>
        <w:rPr>
          <w:rFonts w:ascii="Times New Roman" w:hAnsi="Times New Roman"/>
          <w:sz w:val="16"/>
        </w:rPr>
      </w:pPr>
    </w:p>
    <w:p w14:paraId="72CE63AD" w14:textId="5C2D967D" w:rsidR="00A04E47" w:rsidRDefault="00A04E47">
      <w:pPr>
        <w:pBdr>
          <w:bottom w:val="single" w:sz="4" w:space="1" w:color="auto"/>
        </w:pBdr>
        <w:jc w:val="both"/>
        <w:rPr>
          <w:rFonts w:ascii="Times New Roman" w:hAnsi="Times New Roman"/>
          <w:sz w:val="16"/>
        </w:rPr>
      </w:pPr>
    </w:p>
    <w:p w14:paraId="72D2D0CA" w14:textId="1CE02F73" w:rsidR="00A04E47" w:rsidRDefault="00A04E47">
      <w:pPr>
        <w:pBdr>
          <w:bottom w:val="single" w:sz="4" w:space="1" w:color="auto"/>
        </w:pBdr>
        <w:jc w:val="both"/>
        <w:rPr>
          <w:rFonts w:ascii="Times New Roman" w:hAnsi="Times New Roman"/>
          <w:sz w:val="16"/>
        </w:rPr>
      </w:pPr>
    </w:p>
    <w:p w14:paraId="1CA0D9C9" w14:textId="40ABF0C3" w:rsidR="00A04E47" w:rsidRDefault="00A04E47">
      <w:pPr>
        <w:pBdr>
          <w:bottom w:val="single" w:sz="4" w:space="1" w:color="auto"/>
        </w:pBdr>
        <w:jc w:val="both"/>
        <w:rPr>
          <w:rFonts w:ascii="Times New Roman" w:hAnsi="Times New Roman"/>
          <w:sz w:val="16"/>
        </w:rPr>
      </w:pPr>
    </w:p>
    <w:p w14:paraId="61CFA5FF" w14:textId="3B4357F8" w:rsidR="00A04E47" w:rsidRDefault="00A04E47">
      <w:pPr>
        <w:pBdr>
          <w:bottom w:val="single" w:sz="4" w:space="1" w:color="auto"/>
        </w:pBdr>
        <w:jc w:val="both"/>
        <w:rPr>
          <w:rFonts w:ascii="Times New Roman" w:hAnsi="Times New Roman"/>
          <w:sz w:val="16"/>
        </w:rPr>
      </w:pPr>
    </w:p>
    <w:p w14:paraId="76200764" w14:textId="4990EC5D" w:rsidR="00A04E47" w:rsidRDefault="00A04E47">
      <w:pPr>
        <w:pBdr>
          <w:bottom w:val="single" w:sz="4" w:space="1" w:color="auto"/>
        </w:pBdr>
        <w:jc w:val="both"/>
        <w:rPr>
          <w:rFonts w:ascii="Times New Roman" w:hAnsi="Times New Roman"/>
          <w:sz w:val="16"/>
        </w:rPr>
      </w:pPr>
    </w:p>
    <w:p w14:paraId="45C88CC6" w14:textId="3A183C2B" w:rsidR="00A04E47" w:rsidRDefault="00A04E47">
      <w:pPr>
        <w:pBdr>
          <w:bottom w:val="single" w:sz="4" w:space="1" w:color="auto"/>
        </w:pBdr>
        <w:jc w:val="both"/>
        <w:rPr>
          <w:rFonts w:ascii="Times New Roman" w:hAnsi="Times New Roman"/>
          <w:sz w:val="16"/>
        </w:rPr>
      </w:pPr>
    </w:p>
    <w:p w14:paraId="39CD751A" w14:textId="0739FBA5" w:rsidR="00A04E47" w:rsidRDefault="00A04E47">
      <w:pPr>
        <w:pBdr>
          <w:bottom w:val="single" w:sz="4" w:space="1" w:color="auto"/>
        </w:pBdr>
        <w:jc w:val="both"/>
        <w:rPr>
          <w:rFonts w:ascii="Times New Roman" w:hAnsi="Times New Roman"/>
          <w:sz w:val="16"/>
        </w:rPr>
      </w:pPr>
    </w:p>
    <w:p w14:paraId="1A1232E0" w14:textId="01C31F16" w:rsidR="00A04E47" w:rsidRDefault="00A04E47">
      <w:pPr>
        <w:pBdr>
          <w:bottom w:val="single" w:sz="4" w:space="1" w:color="auto"/>
        </w:pBdr>
        <w:jc w:val="both"/>
        <w:rPr>
          <w:rFonts w:ascii="Times New Roman" w:hAnsi="Times New Roman"/>
          <w:sz w:val="16"/>
        </w:rPr>
      </w:pPr>
    </w:p>
    <w:p w14:paraId="47367957" w14:textId="0CBC0058" w:rsidR="00A04E47" w:rsidRDefault="00A04E47">
      <w:pPr>
        <w:pBdr>
          <w:bottom w:val="single" w:sz="4" w:space="1" w:color="auto"/>
        </w:pBdr>
        <w:jc w:val="both"/>
        <w:rPr>
          <w:rFonts w:ascii="Times New Roman" w:hAnsi="Times New Roman"/>
          <w:sz w:val="16"/>
        </w:rPr>
      </w:pPr>
    </w:p>
    <w:p w14:paraId="1391735F" w14:textId="480434C8" w:rsidR="00A04E47" w:rsidRDefault="00A04E47">
      <w:pPr>
        <w:pBdr>
          <w:bottom w:val="single" w:sz="4" w:space="1" w:color="auto"/>
        </w:pBdr>
        <w:jc w:val="both"/>
        <w:rPr>
          <w:rFonts w:ascii="Times New Roman" w:hAnsi="Times New Roman"/>
          <w:sz w:val="16"/>
        </w:rPr>
      </w:pPr>
    </w:p>
    <w:p w14:paraId="027C0478" w14:textId="68A6AA14" w:rsidR="00A04E47" w:rsidRDefault="00A04E47">
      <w:pPr>
        <w:pBdr>
          <w:bottom w:val="single" w:sz="4" w:space="1" w:color="auto"/>
        </w:pBdr>
        <w:jc w:val="both"/>
        <w:rPr>
          <w:rFonts w:ascii="Times New Roman" w:hAnsi="Times New Roman"/>
          <w:sz w:val="16"/>
        </w:rPr>
      </w:pPr>
    </w:p>
    <w:p w14:paraId="4E03C706" w14:textId="4E760909" w:rsidR="00A04E47" w:rsidRDefault="00A04E47">
      <w:pPr>
        <w:pBdr>
          <w:bottom w:val="single" w:sz="4" w:space="1" w:color="auto"/>
        </w:pBdr>
        <w:jc w:val="both"/>
        <w:rPr>
          <w:rFonts w:ascii="Times New Roman" w:hAnsi="Times New Roman"/>
          <w:sz w:val="16"/>
        </w:rPr>
      </w:pPr>
    </w:p>
    <w:p w14:paraId="08C0F2BF" w14:textId="025AAD25" w:rsidR="00175624" w:rsidRDefault="00175624">
      <w:pPr>
        <w:pBdr>
          <w:bottom w:val="single" w:sz="4" w:space="1" w:color="auto"/>
        </w:pBdr>
        <w:jc w:val="both"/>
        <w:rPr>
          <w:rFonts w:ascii="Times New Roman" w:hAnsi="Times New Roman"/>
          <w:sz w:val="16"/>
        </w:rPr>
      </w:pPr>
    </w:p>
    <w:p w14:paraId="6D2D319F" w14:textId="77777777" w:rsidR="00175624" w:rsidRDefault="00175624">
      <w:pPr>
        <w:pBdr>
          <w:bottom w:val="single" w:sz="4" w:space="1" w:color="auto"/>
        </w:pBdr>
        <w:jc w:val="both"/>
        <w:rPr>
          <w:rFonts w:ascii="Times New Roman" w:hAnsi="Times New Roman"/>
          <w:sz w:val="16"/>
        </w:rPr>
      </w:pPr>
    </w:p>
    <w:p w14:paraId="0FD9E0C4" w14:textId="07715B19" w:rsidR="00A04E47" w:rsidRDefault="009929E1">
      <w:pPr>
        <w:pBdr>
          <w:bottom w:val="single" w:sz="4" w:space="1" w:color="auto"/>
        </w:pBdr>
        <w:jc w:val="both"/>
        <w:rPr>
          <w:rFonts w:ascii="Times New Roman" w:hAnsi="Times New Roman"/>
          <w:sz w:val="16"/>
        </w:rPr>
      </w:pPr>
      <w:r>
        <w:rPr>
          <w:rFonts w:ascii="Times New Roman" w:hAnsi="Times New Roman"/>
          <w:noProof/>
          <w:sz w:val="16"/>
          <w:lang w:val="en-CA" w:eastAsia="en-CA"/>
        </w:rPr>
        <mc:AlternateContent>
          <mc:Choice Requires="wps">
            <w:drawing>
              <wp:anchor distT="0" distB="0" distL="114300" distR="114300" simplePos="0" relativeHeight="251701760" behindDoc="0" locked="0" layoutInCell="1" allowOverlap="1" wp14:anchorId="22C08CE0" wp14:editId="2D151B4A">
                <wp:simplePos x="0" y="0"/>
                <wp:positionH relativeFrom="column">
                  <wp:posOffset>-112395</wp:posOffset>
                </wp:positionH>
                <wp:positionV relativeFrom="paragraph">
                  <wp:posOffset>43180</wp:posOffset>
                </wp:positionV>
                <wp:extent cx="6762750" cy="323850"/>
                <wp:effectExtent l="0" t="0" r="0" b="0"/>
                <wp:wrapNone/>
                <wp:docPr id="18" name="Rectangle 18"/>
                <wp:cNvGraphicFramePr/>
                <a:graphic xmlns:a="http://schemas.openxmlformats.org/drawingml/2006/main">
                  <a:graphicData uri="http://schemas.microsoft.com/office/word/2010/wordprocessingShape">
                    <wps:wsp>
                      <wps:cNvSpPr/>
                      <wps:spPr>
                        <a:xfrm>
                          <a:off x="0" y="0"/>
                          <a:ext cx="676275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9AFEA" id="Rectangle 18" o:spid="_x0000_s1026" style="position:absolute;margin-left:-8.85pt;margin-top:3.4pt;width:532.5pt;height:25.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h/kgIAAIYFAAAOAAAAZHJzL2Uyb0RvYy54bWysVN9vGyEMfp+0/wHxvl6S/lzUSxW16jSp&#10;6qq2U58JBzkkwAxILtlfPwN3l66r9jAtDxeD7c/2h+3Lq53RZCt8UGBrOj2aUCIsh0bZdU2/P99+&#10;uqAkRGYbpsGKmu5FoFeLjx8uOzcXM2hBN8ITBLFh3rmatjG6eVUF3grDwhE4YVEpwRsW8ejXVeNZ&#10;h+hGV7PJ5KzqwDfOAxch4O1NUdJFxpdS8PhNyiAi0TXF3GL++vxdpW+1uGTztWeuVbxPg/1DFoYp&#10;i0FHqBsWGdl49QeUUdxDABmPOJgKpFRc5BqwmunkTTVPLXMi14LkBDfSFP4fLL/fPniiGnw7fCnL&#10;DL7RI7LG7FoLgndIUOfCHO2e3IPvTwHFVO1OepP+sQ6yy6TuR1LFLhKOl2fnZ7PzU+Seo+54dnyB&#10;MsJUB2/nQ/wiwJAk1NRj+Mwl296FWEwHkxQsgFbNrdI6H1KjiGvtyZbhE6/W0x78Nyttk62F5FUA&#10;002VCiulZCnutUh22j4KiZxg8rOcSO7GQxDGubBxWlQta0SJfTrB3xB9SCsXmgETssT4I3YPMFgW&#10;kAG7ZNnbJ1eRm3l0nvwtseI8euTIYOPobJQF/x6Axqr6yMV+IKlQk1haQbPHjvFQRik4fqvw2e5Y&#10;iA/M4+zgS+M+iN/wIzV0NYVeoqQF//O9+2SPLY1aSjqcxZqGHxvmBSX6q8Vm/zw9OUnDmw8np+cz&#10;PPjXmtVrjd2Ya8BemOLmcTyLyT7qQZQezAuujWWKiipmOcauKY9+OFzHsiNw8XCxXGYzHFjH4p19&#10;cjyBJ1ZTWz7vXph3fe9G7Pp7GOaWzd+0cLFNnhaWmwhS5f4+8NrzjcOeG6dfTGmbvD5nq8P6XPwC&#10;AAD//wMAUEsDBBQABgAIAAAAIQDay0CD3gAAAAkBAAAPAAAAZHJzL2Rvd25yZXYueG1sTI/BTsMw&#10;EETvSPyDtUjcWruU1FXIpkIIKuiNQji7sUki7HWInTb8Pe4JjqMZzbwpNpOz7GiG0HlCWMwFMEO1&#10;1x01CO9vT7M1sBAVaWU9GYQfE2BTXl4UKtf+RK/muI8NSyUUcoXQxtjnnIe6NU6Fue8NJe/TD07F&#10;JIeG60GdUrmz/EaIFXeqo7TQqt48tKb+2o8OYczky+P08b1dVqKSu8pmz3HbI15fTfd3wKKZ4l8Y&#10;zvgJHcrEdPAj6cAswmwhZYoirNKDsy9u5RLYASGTa+Blwf8/KH8BAAD//wMAUEsBAi0AFAAGAAgA&#10;AAAhALaDOJL+AAAA4QEAABMAAAAAAAAAAAAAAAAAAAAAAFtDb250ZW50X1R5cGVzXS54bWxQSwEC&#10;LQAUAAYACAAAACEAOP0h/9YAAACUAQAACwAAAAAAAAAAAAAAAAAvAQAAX3JlbHMvLnJlbHNQSwEC&#10;LQAUAAYACAAAACEAUjX4f5ICAACGBQAADgAAAAAAAAAAAAAAAAAuAgAAZHJzL2Uyb0RvYy54bWxQ&#10;SwECLQAUAAYACAAAACEA2stAg94AAAAJAQAADwAAAAAAAAAAAAAAAADsBAAAZHJzL2Rvd25yZXYu&#10;eG1sUEsFBgAAAAAEAAQA8wAAAPcFAAAAAA==&#10;" fillcolor="white [3212]" stroked="f" strokeweight="2pt"/>
            </w:pict>
          </mc:Fallback>
        </mc:AlternateContent>
      </w:r>
    </w:p>
    <w:p w14:paraId="612F3386" w14:textId="747DADC2" w:rsidR="00A04E47" w:rsidRDefault="00A04E47">
      <w:pPr>
        <w:pBdr>
          <w:bottom w:val="single" w:sz="4" w:space="1" w:color="auto"/>
        </w:pBdr>
        <w:jc w:val="both"/>
        <w:rPr>
          <w:rFonts w:ascii="Times New Roman" w:hAnsi="Times New Roman"/>
          <w:sz w:val="16"/>
        </w:rPr>
      </w:pPr>
    </w:p>
    <w:p w14:paraId="715CF22D" w14:textId="77777777" w:rsidR="00843FF1" w:rsidRDefault="00843FF1" w:rsidP="00CC05C7">
      <w:pPr>
        <w:pBdr>
          <w:bottom w:val="single" w:sz="4" w:space="0" w:color="auto"/>
        </w:pBdr>
        <w:rPr>
          <w:rFonts w:ascii="Times New Roman" w:hAnsi="Times New Roman"/>
          <w:b/>
          <w:sz w:val="24"/>
        </w:rPr>
      </w:pPr>
    </w:p>
    <w:p w14:paraId="6309C6C3" w14:textId="114720BB" w:rsidR="00BD37FA" w:rsidRDefault="009929E1" w:rsidP="00CC05C7">
      <w:pPr>
        <w:pBdr>
          <w:bottom w:val="single" w:sz="4" w:space="0" w:color="auto"/>
        </w:pBdr>
        <w:rPr>
          <w:rFonts w:ascii="Times New Roman" w:hAnsi="Times New Roman"/>
          <w:sz w:val="16"/>
        </w:rPr>
      </w:pPr>
      <w:r>
        <w:rPr>
          <w:rFonts w:ascii="Times New Roman" w:hAnsi="Times New Roman"/>
          <w:noProof/>
          <w:sz w:val="16"/>
          <w:lang w:val="en-CA" w:eastAsia="en-CA"/>
        </w:rPr>
        <mc:AlternateContent>
          <mc:Choice Requires="wps">
            <w:drawing>
              <wp:anchor distT="0" distB="0" distL="114300" distR="114300" simplePos="0" relativeHeight="251703808" behindDoc="0" locked="0" layoutInCell="1" allowOverlap="1" wp14:anchorId="04E2125D" wp14:editId="786CDBD3">
                <wp:simplePos x="0" y="0"/>
                <wp:positionH relativeFrom="column">
                  <wp:posOffset>-57150</wp:posOffset>
                </wp:positionH>
                <wp:positionV relativeFrom="paragraph">
                  <wp:posOffset>4663440</wp:posOffset>
                </wp:positionV>
                <wp:extent cx="6762750" cy="323850"/>
                <wp:effectExtent l="0" t="0" r="0" b="0"/>
                <wp:wrapNone/>
                <wp:docPr id="19" name="Rectangle 19"/>
                <wp:cNvGraphicFramePr/>
                <a:graphic xmlns:a="http://schemas.openxmlformats.org/drawingml/2006/main">
                  <a:graphicData uri="http://schemas.microsoft.com/office/word/2010/wordprocessingShape">
                    <wps:wsp>
                      <wps:cNvSpPr/>
                      <wps:spPr>
                        <a:xfrm>
                          <a:off x="0" y="0"/>
                          <a:ext cx="676275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1FE87" id="Rectangle 19" o:spid="_x0000_s1026" style="position:absolute;margin-left:-4.5pt;margin-top:367.2pt;width:532.5pt;height:25.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gZkgIAAIYFAAAOAAAAZHJzL2Uyb0RvYy54bWysVE1v2zAMvQ/YfxB0X52k30GcIkjRYUDR&#10;Bm2HnhVZigXIoiYpcbJfP0qyna4rdhiWg0OJ5CP5RHJ2s2802QnnFZiSjk9GlAjDoVJmU9LvL3df&#10;rijxgZmKaTCipAfh6c3886dZa6diAjXoSjiCIMZPW1vSOgQ7LQrPa9EwfwJWGFRKcA0LeHSbonKs&#10;RfRGF5PR6KJowVXWARfe4+1tVtJ5wpdS8PAopReB6JJibiF9Xfqu47eYz9h045itFe/SYP+QRcOU&#10;waAD1C0LjGyd+gOqUdyBBxlOODQFSKm4SDVgNePRu2qea2ZFqgXJ8Xagyf8/WP6wWzmiKny7a0oM&#10;a/CNnpA1ZjZaELxDglrrp2j3bFeuO3kUY7V76Zr4j3WQfSL1MJAq9oFwvLy4vJhcniP3HHWnk9Mr&#10;lBGmOHpb58NXAQ2JQkkdhk9cst29D9m0N4nBPGhV3Smt0yE2ilhqR3YMn3i9GXfgv1lpE20NRK8M&#10;GG+KWFguJUnhoEW00+ZJSOQEk5+kRFI3HoMwzoUJ46yqWSVy7PMR/vrofVqp0AQYkSXGH7A7gN4y&#10;g/TYOcvOPrqK1MyD8+hviWXnwSNFBhMG50YZcB8BaKyqi5zte5IyNZGlNVQH7BgHeZS85XcKn+2e&#10;+bBiDmcHXxr3QXjEj9TQlhQ6iZIa3M+P7qM9tjRqKWlxFkvqf2yZE5Tobwab/Xp8dhaHNx3Ozi8n&#10;eHBvNeu3GrNtloC9MMbNY3kSo33QvSgdNK+4NhYxKqqY4Ri7pDy4/rAMeUfg4uFisUhmOLCWhXvz&#10;bHkEj6zGtnzZvzJnu94N2PUP0M8tm75r4WwbPQ0stgGkSv195LXjG4c9NU63mOI2eXtOVsf1Of8F&#10;AAD//wMAUEsDBBQABgAIAAAAIQDOgFX84AAAAAsBAAAPAAAAZHJzL2Rvd25yZXYueG1sTI/BTsMw&#10;EETvSPyDtUjcWhuaNCXEqRCCCrhRmp7d2CQR9jrEThv+nu0Jjjs7mnlTrCdn2dEMofMo4WYugBms&#10;ve6wkbD7eJ6tgIWoUCvr0Uj4MQHW5eVFoXLtT/hujtvYMArBkCsJbYx9znmoW+NUmPveIP0+/eBU&#10;pHNouB7UicKd5bdCLLlTHVJDq3rz2Jr6azs6CWOavT5N++/NohJV9lbZ9CVueimvr6aHe2DRTPHP&#10;DGd8QoeSmA5+RB2YlTC7oylRQrZIEmBng0iXJB1IWqUJ8LLg/zeUvwAAAP//AwBQSwECLQAUAAYA&#10;CAAAACEAtoM4kv4AAADhAQAAEwAAAAAAAAAAAAAAAAAAAAAAW0NvbnRlbnRfVHlwZXNdLnhtbFBL&#10;AQItABQABgAIAAAAIQA4/SH/1gAAAJQBAAALAAAAAAAAAAAAAAAAAC8BAABfcmVscy8ucmVsc1BL&#10;AQItABQABgAIAAAAIQAtXJgZkgIAAIYFAAAOAAAAAAAAAAAAAAAAAC4CAABkcnMvZTJvRG9jLnht&#10;bFBLAQItABQABgAIAAAAIQDOgFX84AAAAAsBAAAPAAAAAAAAAAAAAAAAAOwEAABkcnMvZG93bnJl&#10;di54bWxQSwUGAAAAAAQABADzAAAA+QUAAAAA&#10;" fillcolor="white [3212]" stroked="f" strokeweight="2pt"/>
            </w:pict>
          </mc:Fallback>
        </mc:AlternateContent>
      </w:r>
      <w:r w:rsidR="006271B4" w:rsidRPr="00154750">
        <w:rPr>
          <w:rFonts w:ascii="Times New Roman" w:hAnsi="Times New Roman"/>
          <w:b/>
          <w:sz w:val="24"/>
        </w:rPr>
        <w:t>Appendix</w:t>
      </w:r>
      <w:r w:rsidR="006271B4">
        <w:rPr>
          <w:rFonts w:ascii="Times New Roman" w:hAnsi="Times New Roman"/>
          <w:b/>
          <w:sz w:val="24"/>
        </w:rPr>
        <w:t xml:space="preserve"> </w:t>
      </w:r>
      <w:r w:rsidR="006271B4" w:rsidRPr="00154750">
        <w:rPr>
          <w:rFonts w:ascii="Times New Roman" w:hAnsi="Times New Roman"/>
          <w:b/>
          <w:sz w:val="24"/>
        </w:rPr>
        <w:t>9</w:t>
      </w:r>
      <w:r w:rsidR="009C732B">
        <w:rPr>
          <w:rFonts w:ascii="Times New Roman" w:hAnsi="Times New Roman"/>
          <w:b/>
          <w:sz w:val="24"/>
        </w:rPr>
        <w:t xml:space="preserve"> (Correlation between snowfall and revenue)</w:t>
      </w:r>
      <w:r w:rsidR="006271B4">
        <w:rPr>
          <w:rFonts w:ascii="Times New Roman" w:hAnsi="Times New Roman"/>
          <w:b/>
          <w:sz w:val="24"/>
        </w:rPr>
        <w:t xml:space="preserve">: </w:t>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r w:rsidR="00A04E47">
        <w:rPr>
          <w:rFonts w:ascii="Times New Roman" w:hAnsi="Times New Roman"/>
          <w:b/>
          <w:sz w:val="24"/>
        </w:rPr>
        <w:br/>
      </w:r>
      <w:bookmarkStart w:id="0" w:name="_GoBack"/>
      <w:bookmarkEnd w:id="0"/>
      <w:r w:rsidR="00A04E47">
        <w:rPr>
          <w:rFonts w:ascii="Times New Roman" w:hAnsi="Times New Roman"/>
          <w:b/>
          <w:sz w:val="24"/>
        </w:rPr>
        <w:br/>
      </w:r>
      <w:r w:rsidR="002565EF">
        <w:rPr>
          <w:rFonts w:ascii="Times New Roman" w:hAnsi="Times New Roman"/>
          <w:sz w:val="16"/>
        </w:rPr>
        <w:t>Source: Raymond James</w:t>
      </w:r>
      <w:r w:rsidR="00A04E47">
        <w:rPr>
          <w:rFonts w:ascii="Times New Roman" w:hAnsi="Times New Roman"/>
          <w:b/>
          <w:sz w:val="24"/>
        </w:rPr>
        <w:br/>
      </w:r>
      <w:r w:rsidR="00BD37FA" w:rsidRPr="00BD37FA">
        <w:rPr>
          <w:rFonts w:ascii="Times New Roman" w:eastAsia="Times New Roman" w:hAnsi="Times New Roman"/>
          <w:noProof/>
          <w:sz w:val="24"/>
          <w:szCs w:val="24"/>
          <w:lang w:val="en-CA" w:eastAsia="en-CA"/>
        </w:rPr>
        <w:drawing>
          <wp:anchor distT="0" distB="0" distL="114300" distR="114300" simplePos="0" relativeHeight="251690496" behindDoc="1" locked="0" layoutInCell="1" allowOverlap="1" wp14:anchorId="243D9934" wp14:editId="453C3923">
            <wp:simplePos x="0" y="0"/>
            <wp:positionH relativeFrom="margin">
              <wp:posOffset>345057</wp:posOffset>
            </wp:positionH>
            <wp:positionV relativeFrom="paragraph">
              <wp:posOffset>9621</wp:posOffset>
            </wp:positionV>
            <wp:extent cx="5262113" cy="4435258"/>
            <wp:effectExtent l="0" t="0" r="0" b="3810"/>
            <wp:wrapNone/>
            <wp:docPr id="522" name="Picture 522" descr="C:\Users\BB\AppData\Roaming\Tencent\Users\372767848\QQ\WinTemp\RichOle\3HTSWG5K)}J`@6O_~}JO7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B\AppData\Roaming\Tencent\Users\372767848\QQ\WinTemp\RichOle\3HTSWG5K)}J`@6O_~}JO7BG.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62113" cy="443525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D37FA" w:rsidSect="00D84358">
      <w:headerReference w:type="first" r:id="rId42"/>
      <w:footerReference w:type="first" r:id="rId43"/>
      <w:pgSz w:w="12240" w:h="15840" w:code="1"/>
      <w:pgMar w:top="1077" w:right="1077" w:bottom="1021" w:left="1077"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03E53" w14:textId="77777777" w:rsidR="009A78BD" w:rsidRDefault="009A78BD">
      <w:r>
        <w:separator/>
      </w:r>
    </w:p>
  </w:endnote>
  <w:endnote w:type="continuationSeparator" w:id="0">
    <w:p w14:paraId="3CAB0054" w14:textId="77777777" w:rsidR="009A78BD" w:rsidRDefault="009A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Times New Roman"/>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499C0" w14:textId="77777777" w:rsidR="00412E12" w:rsidRDefault="00412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B20BC" w14:textId="77777777" w:rsidR="00412E12" w:rsidRDefault="00412E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B567" w14:textId="77777777" w:rsidR="00412E12" w:rsidRDefault="00412E12">
    <w:pPr>
      <w:pStyle w:val="Footer"/>
      <w:pBdr>
        <w:top w:val="single" w:sz="6" w:space="1" w:color="auto"/>
      </w:pBdr>
      <w:tabs>
        <w:tab w:val="clear" w:pos="8640"/>
        <w:tab w:val="right" w:pos="10710"/>
      </w:tabs>
    </w:pPr>
    <w:r>
      <w:tab/>
    </w:r>
    <w:r>
      <w:tab/>
    </w:r>
    <w:r>
      <w:rPr>
        <w:rStyle w:val="PageNumber"/>
      </w:rPr>
      <w:fldChar w:fldCharType="begin"/>
    </w:r>
    <w:r>
      <w:rPr>
        <w:rStyle w:val="PageNumber"/>
      </w:rPr>
      <w:instrText xml:space="preserve"> PAGE </w:instrText>
    </w:r>
    <w:r>
      <w:rPr>
        <w:rStyle w:val="PageNumber"/>
      </w:rPr>
      <w:fldChar w:fldCharType="separate"/>
    </w:r>
    <w:r w:rsidR="00874885">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32439"/>
      <w:docPartObj>
        <w:docPartGallery w:val="Page Numbers (Bottom of Page)"/>
        <w:docPartUnique/>
      </w:docPartObj>
    </w:sdtPr>
    <w:sdtContent>
      <w:p w14:paraId="7F4360F3" w14:textId="77777777" w:rsidR="00412E12" w:rsidRDefault="00412E12" w:rsidP="001B5F11">
        <w:pPr>
          <w:pStyle w:val="Footer"/>
          <w:jc w:val="center"/>
        </w:pPr>
      </w:p>
      <w:p w14:paraId="56EB3A5E" w14:textId="77777777" w:rsidR="00412E12" w:rsidRDefault="00412E12" w:rsidP="001B5F11">
        <w:pPr>
          <w:pStyle w:val="Footer"/>
          <w:jc w:val="center"/>
        </w:pPr>
        <w:r>
          <w:pict w14:anchorId="452EB9C8">
            <v:rect id="_x0000_i1025" style="width:0;height:1.5pt" o:hralign="center" o:hrstd="t" o:hr="t" fillcolor="#aca899" stroked="f"/>
          </w:pict>
        </w:r>
      </w:p>
      <w:p w14:paraId="192B1E2A" w14:textId="77777777" w:rsidR="00412E12" w:rsidRDefault="00412E12" w:rsidP="001B5F11">
        <w:pPr>
          <w:pStyle w:val="Footer"/>
          <w:jc w:val="center"/>
        </w:pPr>
        <w:r>
          <w:fldChar w:fldCharType="begin"/>
        </w:r>
        <w:r>
          <w:instrText xml:space="preserve"> PAGE   \* MERGEFORMAT </w:instrText>
        </w:r>
        <w:r>
          <w:fldChar w:fldCharType="separate"/>
        </w:r>
        <w:r w:rsidR="00874885">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939D5" w14:textId="77777777" w:rsidR="009A78BD" w:rsidRDefault="009A78BD">
      <w:r>
        <w:separator/>
      </w:r>
    </w:p>
  </w:footnote>
  <w:footnote w:type="continuationSeparator" w:id="0">
    <w:p w14:paraId="2B19F3D8" w14:textId="77777777" w:rsidR="009A78BD" w:rsidRDefault="009A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ook w:val="0000" w:firstRow="0" w:lastRow="0" w:firstColumn="0" w:lastColumn="0" w:noHBand="0" w:noVBand="0"/>
    </w:tblPr>
    <w:tblGrid>
      <w:gridCol w:w="5034"/>
      <w:gridCol w:w="4944"/>
    </w:tblGrid>
    <w:tr w:rsidR="00412E12" w14:paraId="38919855" w14:textId="77777777">
      <w:tc>
        <w:tcPr>
          <w:tcW w:w="5400" w:type="dxa"/>
        </w:tcPr>
        <w:p w14:paraId="22213745" w14:textId="3388BF53" w:rsidR="00412E12" w:rsidRPr="00874E1F" w:rsidRDefault="00412E12">
          <w:pPr>
            <w:pStyle w:val="Header"/>
          </w:pPr>
          <w:r>
            <w:t>CFA Institute Research Challenge</w:t>
          </w:r>
        </w:p>
      </w:tc>
      <w:tc>
        <w:tcPr>
          <w:tcW w:w="5400" w:type="dxa"/>
        </w:tcPr>
        <w:p w14:paraId="6F5204DD" w14:textId="77777777" w:rsidR="00412E12" w:rsidRDefault="00412E12" w:rsidP="00656319">
          <w:pPr>
            <w:pStyle w:val="Header"/>
            <w:jc w:val="right"/>
            <w:rPr>
              <w:b w:val="0"/>
              <w:bCs/>
              <w:sz w:val="20"/>
            </w:rPr>
          </w:pPr>
          <w:r>
            <w:rPr>
              <w:b w:val="0"/>
              <w:bCs/>
              <w:sz w:val="20"/>
            </w:rPr>
            <w:t xml:space="preserve"> </w:t>
          </w:r>
        </w:p>
      </w:tc>
    </w:tr>
  </w:tbl>
  <w:p w14:paraId="448DCD12" w14:textId="77777777" w:rsidR="00412E12" w:rsidRDefault="00412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0E45" w14:textId="77777777" w:rsidR="00412E12" w:rsidRDefault="00412E12">
    <w:pPr>
      <w:pStyle w:val="Header"/>
      <w:pBdr>
        <w:bottom w:val="single" w:sz="36" w:space="1" w:color="auto"/>
      </w:pBdr>
      <w:tabs>
        <w:tab w:val="clear" w:pos="4320"/>
        <w:tab w:val="clear" w:pos="8640"/>
      </w:tabs>
      <w:ind w:right="-90"/>
      <w:rPr>
        <w:rFonts w:ascii="Times New Roman" w:hAnsi="Times New Roman"/>
        <w:b w:val="0"/>
        <w:sz w:val="20"/>
      </w:rPr>
    </w:pPr>
  </w:p>
  <w:p w14:paraId="3FA42676" w14:textId="77777777" w:rsidR="00412E12" w:rsidRDefault="00412E12">
    <w:pPr>
      <w:pStyle w:val="Header"/>
      <w:pBdr>
        <w:bottom w:val="single" w:sz="36" w:space="1" w:color="auto"/>
      </w:pBdr>
      <w:tabs>
        <w:tab w:val="clear" w:pos="4320"/>
        <w:tab w:val="clear" w:pos="8640"/>
      </w:tabs>
      <w:ind w:right="-90"/>
      <w:rPr>
        <w:rFonts w:ascii="Times New Roman" w:hAnsi="Times New Roman"/>
        <w:b w:val="0"/>
        <w:sz w:val="20"/>
      </w:rPr>
    </w:pPr>
  </w:p>
  <w:p w14:paraId="17645BF4" w14:textId="77777777" w:rsidR="00412E12" w:rsidRDefault="00412E12">
    <w:pPr>
      <w:pStyle w:val="Header"/>
      <w:pBdr>
        <w:bottom w:val="single" w:sz="36" w:space="1" w:color="auto"/>
      </w:pBdr>
      <w:tabs>
        <w:tab w:val="clear" w:pos="4320"/>
        <w:tab w:val="clear" w:pos="8640"/>
      </w:tabs>
      <w:ind w:right="-90"/>
      <w:rPr>
        <w:rFonts w:ascii="Times New Roman" w:hAnsi="Times New Roman"/>
        <w:b w:val="0"/>
        <w:sz w:val="20"/>
      </w:rPr>
    </w:pPr>
  </w:p>
  <w:p w14:paraId="00286661" w14:textId="77777777" w:rsidR="00412E12" w:rsidRDefault="00412E12">
    <w:pPr>
      <w:pStyle w:val="Header"/>
      <w:pBdr>
        <w:bottom w:val="single" w:sz="36" w:space="1" w:color="auto"/>
      </w:pBdr>
      <w:tabs>
        <w:tab w:val="clear" w:pos="4320"/>
        <w:tab w:val="clear" w:pos="8640"/>
      </w:tabs>
      <w:ind w:right="-90"/>
      <w:rPr>
        <w:rFonts w:ascii="Times New Roman" w:hAnsi="Times New Roman"/>
        <w:b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ook w:val="0000" w:firstRow="0" w:lastRow="0" w:firstColumn="0" w:lastColumn="0" w:noHBand="0" w:noVBand="0"/>
    </w:tblPr>
    <w:tblGrid>
      <w:gridCol w:w="5019"/>
      <w:gridCol w:w="4959"/>
    </w:tblGrid>
    <w:tr w:rsidR="00412E12" w14:paraId="67115930" w14:textId="77777777">
      <w:tc>
        <w:tcPr>
          <w:tcW w:w="5400" w:type="dxa"/>
        </w:tcPr>
        <w:p w14:paraId="08ED4356" w14:textId="77777777" w:rsidR="00412E12" w:rsidRDefault="00412E12" w:rsidP="00874E1F">
          <w:pPr>
            <w:pStyle w:val="Header"/>
          </w:pPr>
          <w:r>
            <w:t>CFA Institute Research Challenge</w:t>
          </w:r>
        </w:p>
      </w:tc>
      <w:tc>
        <w:tcPr>
          <w:tcW w:w="5400" w:type="dxa"/>
        </w:tcPr>
        <w:p w14:paraId="113CDDB0" w14:textId="77777777" w:rsidR="00412E12" w:rsidRDefault="00412E12">
          <w:pPr>
            <w:pStyle w:val="Header"/>
            <w:jc w:val="right"/>
            <w:rPr>
              <w:b w:val="0"/>
              <w:bCs/>
              <w:sz w:val="20"/>
            </w:rPr>
          </w:pPr>
          <w:r>
            <w:rPr>
              <w:b w:val="0"/>
              <w:bCs/>
              <w:sz w:val="20"/>
            </w:rPr>
            <w:t xml:space="preserve"> Date</w:t>
          </w:r>
        </w:p>
      </w:tc>
    </w:tr>
  </w:tbl>
  <w:p w14:paraId="1F9785BE" w14:textId="77777777" w:rsidR="00412E12" w:rsidRDefault="00412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372238"/>
    <w:multiLevelType w:val="hybridMultilevel"/>
    <w:tmpl w:val="CD302DCA"/>
    <w:lvl w:ilvl="0" w:tplc="0409000F">
      <w:start w:val="1"/>
      <w:numFmt w:val="decimal"/>
      <w:lvlText w:val="%1."/>
      <w:lvlJc w:val="left"/>
      <w:pPr>
        <w:ind w:left="2952" w:hanging="360"/>
      </w:pPr>
    </w:lvl>
    <w:lvl w:ilvl="1" w:tplc="04090019">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2" w15:restartNumberingAfterBreak="0">
    <w:nsid w:val="44540D98"/>
    <w:multiLevelType w:val="hybridMultilevel"/>
    <w:tmpl w:val="FD9CD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020B2"/>
    <w:multiLevelType w:val="hybridMultilevel"/>
    <w:tmpl w:val="04E2C0EC"/>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hint="default"/>
      </w:rPr>
    </w:lvl>
    <w:lvl w:ilvl="8" w:tplc="04090005" w:tentative="1">
      <w:start w:val="1"/>
      <w:numFmt w:val="bullet"/>
      <w:lvlText w:val=""/>
      <w:lvlJc w:val="left"/>
      <w:pPr>
        <w:ind w:left="649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C332E"/>
    <w:rsid w:val="000160A4"/>
    <w:rsid w:val="00026134"/>
    <w:rsid w:val="00027DC4"/>
    <w:rsid w:val="00031FC8"/>
    <w:rsid w:val="00045571"/>
    <w:rsid w:val="00054F78"/>
    <w:rsid w:val="000621C5"/>
    <w:rsid w:val="00076A9F"/>
    <w:rsid w:val="00082679"/>
    <w:rsid w:val="000949B9"/>
    <w:rsid w:val="000967CD"/>
    <w:rsid w:val="000B4ADA"/>
    <w:rsid w:val="000F7E42"/>
    <w:rsid w:val="001018E6"/>
    <w:rsid w:val="0011337E"/>
    <w:rsid w:val="00132619"/>
    <w:rsid w:val="0014323E"/>
    <w:rsid w:val="00154750"/>
    <w:rsid w:val="00175624"/>
    <w:rsid w:val="00176CFB"/>
    <w:rsid w:val="0019119B"/>
    <w:rsid w:val="001A6DC4"/>
    <w:rsid w:val="001B1075"/>
    <w:rsid w:val="001B5F11"/>
    <w:rsid w:val="001B68DC"/>
    <w:rsid w:val="001C4FBD"/>
    <w:rsid w:val="001E207D"/>
    <w:rsid w:val="001E295B"/>
    <w:rsid w:val="001F2D55"/>
    <w:rsid w:val="001F7544"/>
    <w:rsid w:val="001F7939"/>
    <w:rsid w:val="0022106F"/>
    <w:rsid w:val="00223DF7"/>
    <w:rsid w:val="00244381"/>
    <w:rsid w:val="002467F3"/>
    <w:rsid w:val="002565EF"/>
    <w:rsid w:val="00262172"/>
    <w:rsid w:val="00263B03"/>
    <w:rsid w:val="00267A95"/>
    <w:rsid w:val="0027549D"/>
    <w:rsid w:val="00283DA0"/>
    <w:rsid w:val="002A6029"/>
    <w:rsid w:val="002B0F39"/>
    <w:rsid w:val="002C0037"/>
    <w:rsid w:val="002D39BC"/>
    <w:rsid w:val="002D5934"/>
    <w:rsid w:val="002D795F"/>
    <w:rsid w:val="002E180A"/>
    <w:rsid w:val="002E2217"/>
    <w:rsid w:val="002F24C7"/>
    <w:rsid w:val="002F43F0"/>
    <w:rsid w:val="002F452A"/>
    <w:rsid w:val="00314678"/>
    <w:rsid w:val="0031593B"/>
    <w:rsid w:val="003658C2"/>
    <w:rsid w:val="0036597A"/>
    <w:rsid w:val="00390B55"/>
    <w:rsid w:val="00395F84"/>
    <w:rsid w:val="003A69E9"/>
    <w:rsid w:val="003D4A4F"/>
    <w:rsid w:val="003E76DB"/>
    <w:rsid w:val="00412E12"/>
    <w:rsid w:val="00423E38"/>
    <w:rsid w:val="004431E3"/>
    <w:rsid w:val="00470584"/>
    <w:rsid w:val="00480EAA"/>
    <w:rsid w:val="00480EE0"/>
    <w:rsid w:val="004855CB"/>
    <w:rsid w:val="00490CD9"/>
    <w:rsid w:val="00494D89"/>
    <w:rsid w:val="004A3672"/>
    <w:rsid w:val="004C4303"/>
    <w:rsid w:val="004C7532"/>
    <w:rsid w:val="004E2F12"/>
    <w:rsid w:val="0053330D"/>
    <w:rsid w:val="00535519"/>
    <w:rsid w:val="00557355"/>
    <w:rsid w:val="00567BD0"/>
    <w:rsid w:val="00571E8E"/>
    <w:rsid w:val="00580BEE"/>
    <w:rsid w:val="00585424"/>
    <w:rsid w:val="005A656F"/>
    <w:rsid w:val="005B52FD"/>
    <w:rsid w:val="005C48AD"/>
    <w:rsid w:val="005D132A"/>
    <w:rsid w:val="005E3789"/>
    <w:rsid w:val="005E5E52"/>
    <w:rsid w:val="005F1FC9"/>
    <w:rsid w:val="00607493"/>
    <w:rsid w:val="00622E2B"/>
    <w:rsid w:val="00623DD1"/>
    <w:rsid w:val="006271B4"/>
    <w:rsid w:val="006301F5"/>
    <w:rsid w:val="0063691E"/>
    <w:rsid w:val="00644899"/>
    <w:rsid w:val="00655BB1"/>
    <w:rsid w:val="00656319"/>
    <w:rsid w:val="00667520"/>
    <w:rsid w:val="00672AE4"/>
    <w:rsid w:val="00687515"/>
    <w:rsid w:val="006A74B6"/>
    <w:rsid w:val="006C3F35"/>
    <w:rsid w:val="006E1AD3"/>
    <w:rsid w:val="006F1F2C"/>
    <w:rsid w:val="006F371B"/>
    <w:rsid w:val="006F5A1D"/>
    <w:rsid w:val="00705C93"/>
    <w:rsid w:val="00711A13"/>
    <w:rsid w:val="0072086A"/>
    <w:rsid w:val="00742D76"/>
    <w:rsid w:val="00774FD4"/>
    <w:rsid w:val="00781F9F"/>
    <w:rsid w:val="00782CBC"/>
    <w:rsid w:val="007A3C30"/>
    <w:rsid w:val="007A44FC"/>
    <w:rsid w:val="007A6E22"/>
    <w:rsid w:val="007B370C"/>
    <w:rsid w:val="007C06D3"/>
    <w:rsid w:val="007C5E6B"/>
    <w:rsid w:val="007D16D2"/>
    <w:rsid w:val="007F0457"/>
    <w:rsid w:val="007F0AE8"/>
    <w:rsid w:val="007F10F6"/>
    <w:rsid w:val="008379C9"/>
    <w:rsid w:val="008410CF"/>
    <w:rsid w:val="00843FF1"/>
    <w:rsid w:val="00861E42"/>
    <w:rsid w:val="00874885"/>
    <w:rsid w:val="00874E1F"/>
    <w:rsid w:val="00885BE6"/>
    <w:rsid w:val="008C27C1"/>
    <w:rsid w:val="008C332E"/>
    <w:rsid w:val="008D3589"/>
    <w:rsid w:val="008D50D0"/>
    <w:rsid w:val="008E0FE1"/>
    <w:rsid w:val="008E46F3"/>
    <w:rsid w:val="00902332"/>
    <w:rsid w:val="00917259"/>
    <w:rsid w:val="00926F29"/>
    <w:rsid w:val="009758AC"/>
    <w:rsid w:val="00990A27"/>
    <w:rsid w:val="009929E1"/>
    <w:rsid w:val="00995EDE"/>
    <w:rsid w:val="009A78BD"/>
    <w:rsid w:val="009B00BF"/>
    <w:rsid w:val="009C486C"/>
    <w:rsid w:val="009C732B"/>
    <w:rsid w:val="009D239D"/>
    <w:rsid w:val="009E6DBD"/>
    <w:rsid w:val="009F4B07"/>
    <w:rsid w:val="00A04E47"/>
    <w:rsid w:val="00A07A4B"/>
    <w:rsid w:val="00A35551"/>
    <w:rsid w:val="00A36EDC"/>
    <w:rsid w:val="00A43D61"/>
    <w:rsid w:val="00A54F41"/>
    <w:rsid w:val="00A55471"/>
    <w:rsid w:val="00A5778C"/>
    <w:rsid w:val="00A659E6"/>
    <w:rsid w:val="00A72396"/>
    <w:rsid w:val="00AA62B7"/>
    <w:rsid w:val="00AC26C7"/>
    <w:rsid w:val="00AD7D84"/>
    <w:rsid w:val="00AE6A03"/>
    <w:rsid w:val="00AF5D65"/>
    <w:rsid w:val="00B151CD"/>
    <w:rsid w:val="00B2209B"/>
    <w:rsid w:val="00B35143"/>
    <w:rsid w:val="00B46B5E"/>
    <w:rsid w:val="00B54232"/>
    <w:rsid w:val="00B75352"/>
    <w:rsid w:val="00B759AB"/>
    <w:rsid w:val="00B86F58"/>
    <w:rsid w:val="00B90C27"/>
    <w:rsid w:val="00B933CC"/>
    <w:rsid w:val="00BD195D"/>
    <w:rsid w:val="00BD37FA"/>
    <w:rsid w:val="00BF5640"/>
    <w:rsid w:val="00C76E2E"/>
    <w:rsid w:val="00C941C9"/>
    <w:rsid w:val="00C94F8D"/>
    <w:rsid w:val="00CA6DC3"/>
    <w:rsid w:val="00CC05C7"/>
    <w:rsid w:val="00CF5838"/>
    <w:rsid w:val="00D16115"/>
    <w:rsid w:val="00D21D7C"/>
    <w:rsid w:val="00D337D4"/>
    <w:rsid w:val="00D452A1"/>
    <w:rsid w:val="00D84358"/>
    <w:rsid w:val="00DC1029"/>
    <w:rsid w:val="00DC386B"/>
    <w:rsid w:val="00DE305C"/>
    <w:rsid w:val="00E1396F"/>
    <w:rsid w:val="00E16D23"/>
    <w:rsid w:val="00E2088D"/>
    <w:rsid w:val="00E21EFC"/>
    <w:rsid w:val="00E30219"/>
    <w:rsid w:val="00E33D42"/>
    <w:rsid w:val="00E71A02"/>
    <w:rsid w:val="00E773BA"/>
    <w:rsid w:val="00E81A77"/>
    <w:rsid w:val="00EC1098"/>
    <w:rsid w:val="00ED2414"/>
    <w:rsid w:val="00EE0202"/>
    <w:rsid w:val="00EF6C88"/>
    <w:rsid w:val="00F56852"/>
    <w:rsid w:val="00F6635E"/>
    <w:rsid w:val="00F712A9"/>
    <w:rsid w:val="00F8547E"/>
    <w:rsid w:val="00FB4B42"/>
    <w:rsid w:val="00FC4096"/>
    <w:rsid w:val="00FE3991"/>
    <w:rsid w:val="00FE44E8"/>
    <w:rsid w:val="00FF26EB"/>
    <w:rsid w:val="00FF37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6D51E9"/>
  <w15:docId w15:val="{9B78A629-2FC3-4584-9F3D-19EED9BA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27"/>
    <w:rPr>
      <w:rFonts w:ascii="Times" w:hAnsi="Times"/>
    </w:rPr>
  </w:style>
  <w:style w:type="paragraph" w:styleId="Heading1">
    <w:name w:val="heading 1"/>
    <w:basedOn w:val="Normal"/>
    <w:next w:val="Normal"/>
    <w:qFormat/>
    <w:rsid w:val="00990A27"/>
    <w:pPr>
      <w:keepNext/>
      <w:spacing w:before="120"/>
      <w:outlineLvl w:val="0"/>
    </w:pPr>
    <w:rPr>
      <w:b/>
      <w:kern w:val="28"/>
      <w:sz w:val="28"/>
    </w:rPr>
  </w:style>
  <w:style w:type="paragraph" w:styleId="Heading2">
    <w:name w:val="heading 2"/>
    <w:basedOn w:val="Normal"/>
    <w:next w:val="Normal"/>
    <w:qFormat/>
    <w:rsid w:val="00990A27"/>
    <w:pPr>
      <w:keepNext/>
      <w:spacing w:before="120"/>
      <w:outlineLvl w:val="1"/>
    </w:pPr>
    <w:rPr>
      <w:rFonts w:ascii="Arial" w:hAnsi="Arial"/>
      <w:b/>
      <w:sz w:val="24"/>
    </w:rPr>
  </w:style>
  <w:style w:type="paragraph" w:styleId="Heading3">
    <w:name w:val="heading 3"/>
    <w:basedOn w:val="Normal"/>
    <w:next w:val="Normal"/>
    <w:qFormat/>
    <w:rsid w:val="00990A27"/>
    <w:pPr>
      <w:keepNext/>
      <w:outlineLvl w:val="2"/>
    </w:pPr>
    <w:rPr>
      <w:rFonts w:ascii="Arial MT" w:hAnsi="Arial MT"/>
      <w:b/>
      <w:sz w:val="28"/>
    </w:rPr>
  </w:style>
  <w:style w:type="paragraph" w:styleId="Heading4">
    <w:name w:val="heading 4"/>
    <w:basedOn w:val="Normal"/>
    <w:next w:val="Normal"/>
    <w:qFormat/>
    <w:rsid w:val="00990A27"/>
    <w:pPr>
      <w:keepNext/>
      <w:ind w:left="360"/>
      <w:outlineLvl w:val="3"/>
    </w:pPr>
    <w:rPr>
      <w:b/>
      <w:bCs/>
      <w:sz w:val="28"/>
    </w:rPr>
  </w:style>
  <w:style w:type="paragraph" w:styleId="Heading5">
    <w:name w:val="heading 5"/>
    <w:basedOn w:val="Normal"/>
    <w:next w:val="Normal"/>
    <w:qFormat/>
    <w:rsid w:val="00990A27"/>
    <w:pPr>
      <w:keepNext/>
      <w:outlineLvl w:val="4"/>
    </w:pPr>
    <w:rPr>
      <w:rFonts w:ascii="Times New Roman" w:hAnsi="Times New Roman"/>
      <w:i/>
      <w:iCs/>
      <w:sz w:val="18"/>
    </w:rPr>
  </w:style>
  <w:style w:type="paragraph" w:styleId="Heading6">
    <w:name w:val="heading 6"/>
    <w:basedOn w:val="Normal"/>
    <w:next w:val="Normal"/>
    <w:qFormat/>
    <w:rsid w:val="00990A27"/>
    <w:pPr>
      <w:keepNext/>
      <w:outlineLvl w:val="5"/>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0A27"/>
    <w:pPr>
      <w:tabs>
        <w:tab w:val="center" w:pos="4320"/>
        <w:tab w:val="right" w:pos="8640"/>
      </w:tabs>
    </w:pPr>
    <w:rPr>
      <w:b/>
      <w:sz w:val="24"/>
    </w:rPr>
  </w:style>
  <w:style w:type="paragraph" w:styleId="Footer">
    <w:name w:val="footer"/>
    <w:basedOn w:val="Normal"/>
    <w:link w:val="FooterChar"/>
    <w:uiPriority w:val="99"/>
    <w:rsid w:val="00990A27"/>
    <w:pPr>
      <w:tabs>
        <w:tab w:val="center" w:pos="4320"/>
        <w:tab w:val="right" w:pos="8640"/>
      </w:tabs>
    </w:pPr>
  </w:style>
  <w:style w:type="character" w:styleId="PageNumber">
    <w:name w:val="page number"/>
    <w:basedOn w:val="DefaultParagraphFont"/>
    <w:rsid w:val="00990A27"/>
  </w:style>
  <w:style w:type="paragraph" w:styleId="BodyText">
    <w:name w:val="Body Text"/>
    <w:basedOn w:val="Normal"/>
    <w:rsid w:val="00990A27"/>
    <w:rPr>
      <w:rFonts w:ascii="Tahoma" w:hAnsi="Tahoma" w:cs="Tahoma"/>
      <w:b/>
      <w:bCs/>
      <w:sz w:val="16"/>
    </w:rPr>
  </w:style>
  <w:style w:type="paragraph" w:customStyle="1" w:styleId="Header2">
    <w:name w:val="Header2"/>
    <w:basedOn w:val="Normal"/>
    <w:rsid w:val="00990A27"/>
    <w:rPr>
      <w:rFonts w:ascii="Arial MT" w:hAnsi="Arial MT"/>
      <w:b/>
      <w:sz w:val="24"/>
    </w:rPr>
  </w:style>
  <w:style w:type="paragraph" w:customStyle="1" w:styleId="introtext">
    <w:name w:val="intro text"/>
    <w:basedOn w:val="Normal"/>
    <w:rsid w:val="00990A27"/>
    <w:pPr>
      <w:tabs>
        <w:tab w:val="left" w:pos="2880"/>
        <w:tab w:val="left" w:pos="5040"/>
        <w:tab w:val="left" w:pos="7920"/>
      </w:tabs>
    </w:pPr>
    <w:rPr>
      <w:rFonts w:ascii="Arial MT" w:hAnsi="Arial MT"/>
      <w:b/>
    </w:rPr>
  </w:style>
  <w:style w:type="paragraph" w:customStyle="1" w:styleId="CompanyName">
    <w:name w:val="Company Name"/>
    <w:basedOn w:val="Normal"/>
    <w:rsid w:val="00990A27"/>
    <w:pPr>
      <w:jc w:val="right"/>
    </w:pPr>
    <w:rPr>
      <w:rFonts w:ascii="Arial MT" w:hAnsi="Arial MT"/>
      <w:b/>
      <w:sz w:val="40"/>
    </w:rPr>
  </w:style>
  <w:style w:type="paragraph" w:customStyle="1" w:styleId="MarketProfile">
    <w:name w:val="Market Profile"/>
    <w:basedOn w:val="Normal"/>
    <w:rsid w:val="00990A27"/>
    <w:pPr>
      <w:tabs>
        <w:tab w:val="right" w:pos="5040"/>
      </w:tabs>
      <w:spacing w:after="20"/>
    </w:pPr>
  </w:style>
  <w:style w:type="paragraph" w:customStyle="1" w:styleId="Textindent">
    <w:name w:val="Text indent"/>
    <w:basedOn w:val="Normal"/>
    <w:rsid w:val="00990A27"/>
    <w:pPr>
      <w:spacing w:after="120"/>
      <w:ind w:left="2160"/>
    </w:pPr>
  </w:style>
  <w:style w:type="paragraph" w:customStyle="1" w:styleId="TableRowHeads">
    <w:name w:val="Table Row Heads"/>
    <w:basedOn w:val="Normal"/>
    <w:rsid w:val="00990A27"/>
    <w:rPr>
      <w:rFonts w:ascii="Arial MT" w:hAnsi="Arial MT"/>
      <w:b/>
      <w:sz w:val="18"/>
    </w:rPr>
  </w:style>
  <w:style w:type="paragraph" w:customStyle="1" w:styleId="TableColumnHeads">
    <w:name w:val="Table Column Heads"/>
    <w:basedOn w:val="TableRowHeads"/>
    <w:rsid w:val="00990A27"/>
    <w:pPr>
      <w:jc w:val="center"/>
    </w:pPr>
  </w:style>
  <w:style w:type="paragraph" w:styleId="ListBullet">
    <w:name w:val="List Bullet"/>
    <w:basedOn w:val="Normal"/>
    <w:rsid w:val="00990A27"/>
    <w:pPr>
      <w:spacing w:after="120"/>
      <w:ind w:left="360" w:hanging="360"/>
    </w:pPr>
  </w:style>
  <w:style w:type="character" w:customStyle="1" w:styleId="FooterChar">
    <w:name w:val="Footer Char"/>
    <w:basedOn w:val="DefaultParagraphFont"/>
    <w:link w:val="Footer"/>
    <w:uiPriority w:val="99"/>
    <w:rsid w:val="001B5F11"/>
    <w:rPr>
      <w:rFonts w:ascii="Times" w:hAnsi="Times"/>
    </w:rPr>
  </w:style>
  <w:style w:type="paragraph" w:customStyle="1" w:styleId="Default">
    <w:name w:val="Default"/>
    <w:rsid w:val="00D21D7C"/>
    <w:pPr>
      <w:autoSpaceDE w:val="0"/>
      <w:autoSpaceDN w:val="0"/>
      <w:adjustRightInd w:val="0"/>
    </w:pPr>
    <w:rPr>
      <w:rFonts w:ascii="Arial" w:hAnsi="Arial" w:cs="Arial"/>
      <w:color w:val="000000"/>
      <w:sz w:val="24"/>
      <w:szCs w:val="24"/>
      <w:lang w:val="en-CA"/>
    </w:rPr>
  </w:style>
  <w:style w:type="table" w:styleId="TableGrid">
    <w:name w:val="Table Grid"/>
    <w:basedOn w:val="TableNormal"/>
    <w:rsid w:val="0053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3551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6319"/>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656319"/>
    <w:pPr>
      <w:spacing w:before="100" w:beforeAutospacing="1" w:after="100" w:afterAutospacing="1"/>
    </w:pPr>
    <w:rPr>
      <w:rFonts w:eastAsiaTheme="minorEastAsia"/>
    </w:rPr>
  </w:style>
  <w:style w:type="character" w:styleId="IntenseReference">
    <w:name w:val="Intense Reference"/>
    <w:basedOn w:val="DefaultParagraphFont"/>
    <w:uiPriority w:val="32"/>
    <w:qFormat/>
    <w:rsid w:val="00656319"/>
    <w:rPr>
      <w:b/>
      <w:bCs/>
      <w:smallCaps/>
      <w:color w:val="4F81BD" w:themeColor="accent1"/>
      <w:spacing w:val="5"/>
    </w:rPr>
  </w:style>
  <w:style w:type="paragraph" w:styleId="BalloonText">
    <w:name w:val="Balloon Text"/>
    <w:basedOn w:val="Normal"/>
    <w:link w:val="BalloonTextChar"/>
    <w:rsid w:val="00656319"/>
    <w:rPr>
      <w:rFonts w:ascii="Lucida Grande" w:hAnsi="Lucida Grande" w:cs="Lucida Grande"/>
      <w:sz w:val="18"/>
      <w:szCs w:val="18"/>
    </w:rPr>
  </w:style>
  <w:style w:type="character" w:customStyle="1" w:styleId="BalloonTextChar">
    <w:name w:val="Balloon Text Char"/>
    <w:basedOn w:val="DefaultParagraphFont"/>
    <w:link w:val="BalloonText"/>
    <w:rsid w:val="00656319"/>
    <w:rPr>
      <w:rFonts w:ascii="Lucida Grande" w:hAnsi="Lucida Grande" w:cs="Lucida Grande"/>
      <w:sz w:val="18"/>
      <w:szCs w:val="18"/>
    </w:rPr>
  </w:style>
  <w:style w:type="character" w:styleId="Hyperlink">
    <w:name w:val="Hyperlink"/>
    <w:basedOn w:val="DefaultParagraphFont"/>
    <w:rsid w:val="00A07A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2575">
      <w:bodyDiv w:val="1"/>
      <w:marLeft w:val="0"/>
      <w:marRight w:val="0"/>
      <w:marTop w:val="0"/>
      <w:marBottom w:val="0"/>
      <w:divBdr>
        <w:top w:val="none" w:sz="0" w:space="0" w:color="auto"/>
        <w:left w:val="none" w:sz="0" w:space="0" w:color="auto"/>
        <w:bottom w:val="none" w:sz="0" w:space="0" w:color="auto"/>
        <w:right w:val="none" w:sz="0" w:space="0" w:color="auto"/>
      </w:divBdr>
    </w:div>
    <w:div w:id="78253597">
      <w:bodyDiv w:val="1"/>
      <w:marLeft w:val="0"/>
      <w:marRight w:val="0"/>
      <w:marTop w:val="0"/>
      <w:marBottom w:val="0"/>
      <w:divBdr>
        <w:top w:val="none" w:sz="0" w:space="0" w:color="auto"/>
        <w:left w:val="none" w:sz="0" w:space="0" w:color="auto"/>
        <w:bottom w:val="none" w:sz="0" w:space="0" w:color="auto"/>
        <w:right w:val="none" w:sz="0" w:space="0" w:color="auto"/>
      </w:divBdr>
    </w:div>
    <w:div w:id="78529501">
      <w:bodyDiv w:val="1"/>
      <w:marLeft w:val="0"/>
      <w:marRight w:val="0"/>
      <w:marTop w:val="0"/>
      <w:marBottom w:val="0"/>
      <w:divBdr>
        <w:top w:val="none" w:sz="0" w:space="0" w:color="auto"/>
        <w:left w:val="none" w:sz="0" w:space="0" w:color="auto"/>
        <w:bottom w:val="none" w:sz="0" w:space="0" w:color="auto"/>
        <w:right w:val="none" w:sz="0" w:space="0" w:color="auto"/>
      </w:divBdr>
    </w:div>
    <w:div w:id="98959920">
      <w:bodyDiv w:val="1"/>
      <w:marLeft w:val="0"/>
      <w:marRight w:val="0"/>
      <w:marTop w:val="0"/>
      <w:marBottom w:val="0"/>
      <w:divBdr>
        <w:top w:val="none" w:sz="0" w:space="0" w:color="auto"/>
        <w:left w:val="none" w:sz="0" w:space="0" w:color="auto"/>
        <w:bottom w:val="none" w:sz="0" w:space="0" w:color="auto"/>
        <w:right w:val="none" w:sz="0" w:space="0" w:color="auto"/>
      </w:divBdr>
      <w:divsChild>
        <w:div w:id="316154365">
          <w:marLeft w:val="0"/>
          <w:marRight w:val="0"/>
          <w:marTop w:val="0"/>
          <w:marBottom w:val="0"/>
          <w:divBdr>
            <w:top w:val="none" w:sz="0" w:space="0" w:color="auto"/>
            <w:left w:val="none" w:sz="0" w:space="0" w:color="auto"/>
            <w:bottom w:val="none" w:sz="0" w:space="0" w:color="auto"/>
            <w:right w:val="none" w:sz="0" w:space="0" w:color="auto"/>
          </w:divBdr>
        </w:div>
      </w:divsChild>
    </w:div>
    <w:div w:id="105276154">
      <w:bodyDiv w:val="1"/>
      <w:marLeft w:val="0"/>
      <w:marRight w:val="0"/>
      <w:marTop w:val="0"/>
      <w:marBottom w:val="0"/>
      <w:divBdr>
        <w:top w:val="none" w:sz="0" w:space="0" w:color="auto"/>
        <w:left w:val="none" w:sz="0" w:space="0" w:color="auto"/>
        <w:bottom w:val="none" w:sz="0" w:space="0" w:color="auto"/>
        <w:right w:val="none" w:sz="0" w:space="0" w:color="auto"/>
      </w:divBdr>
    </w:div>
    <w:div w:id="116262667">
      <w:bodyDiv w:val="1"/>
      <w:marLeft w:val="0"/>
      <w:marRight w:val="0"/>
      <w:marTop w:val="0"/>
      <w:marBottom w:val="0"/>
      <w:divBdr>
        <w:top w:val="none" w:sz="0" w:space="0" w:color="auto"/>
        <w:left w:val="none" w:sz="0" w:space="0" w:color="auto"/>
        <w:bottom w:val="none" w:sz="0" w:space="0" w:color="auto"/>
        <w:right w:val="none" w:sz="0" w:space="0" w:color="auto"/>
      </w:divBdr>
    </w:div>
    <w:div w:id="118883491">
      <w:bodyDiv w:val="1"/>
      <w:marLeft w:val="0"/>
      <w:marRight w:val="0"/>
      <w:marTop w:val="0"/>
      <w:marBottom w:val="0"/>
      <w:divBdr>
        <w:top w:val="none" w:sz="0" w:space="0" w:color="auto"/>
        <w:left w:val="none" w:sz="0" w:space="0" w:color="auto"/>
        <w:bottom w:val="none" w:sz="0" w:space="0" w:color="auto"/>
        <w:right w:val="none" w:sz="0" w:space="0" w:color="auto"/>
      </w:divBdr>
      <w:divsChild>
        <w:div w:id="94643316">
          <w:marLeft w:val="0"/>
          <w:marRight w:val="0"/>
          <w:marTop w:val="0"/>
          <w:marBottom w:val="0"/>
          <w:divBdr>
            <w:top w:val="none" w:sz="0" w:space="0" w:color="auto"/>
            <w:left w:val="none" w:sz="0" w:space="0" w:color="auto"/>
            <w:bottom w:val="none" w:sz="0" w:space="0" w:color="auto"/>
            <w:right w:val="none" w:sz="0" w:space="0" w:color="auto"/>
          </w:divBdr>
        </w:div>
      </w:divsChild>
    </w:div>
    <w:div w:id="207650405">
      <w:bodyDiv w:val="1"/>
      <w:marLeft w:val="0"/>
      <w:marRight w:val="0"/>
      <w:marTop w:val="0"/>
      <w:marBottom w:val="0"/>
      <w:divBdr>
        <w:top w:val="none" w:sz="0" w:space="0" w:color="auto"/>
        <w:left w:val="none" w:sz="0" w:space="0" w:color="auto"/>
        <w:bottom w:val="none" w:sz="0" w:space="0" w:color="auto"/>
        <w:right w:val="none" w:sz="0" w:space="0" w:color="auto"/>
      </w:divBdr>
    </w:div>
    <w:div w:id="268776104">
      <w:bodyDiv w:val="1"/>
      <w:marLeft w:val="0"/>
      <w:marRight w:val="0"/>
      <w:marTop w:val="0"/>
      <w:marBottom w:val="0"/>
      <w:divBdr>
        <w:top w:val="none" w:sz="0" w:space="0" w:color="auto"/>
        <w:left w:val="none" w:sz="0" w:space="0" w:color="auto"/>
        <w:bottom w:val="none" w:sz="0" w:space="0" w:color="auto"/>
        <w:right w:val="none" w:sz="0" w:space="0" w:color="auto"/>
      </w:divBdr>
    </w:div>
    <w:div w:id="319232807">
      <w:bodyDiv w:val="1"/>
      <w:marLeft w:val="0"/>
      <w:marRight w:val="0"/>
      <w:marTop w:val="0"/>
      <w:marBottom w:val="0"/>
      <w:divBdr>
        <w:top w:val="none" w:sz="0" w:space="0" w:color="auto"/>
        <w:left w:val="none" w:sz="0" w:space="0" w:color="auto"/>
        <w:bottom w:val="none" w:sz="0" w:space="0" w:color="auto"/>
        <w:right w:val="none" w:sz="0" w:space="0" w:color="auto"/>
      </w:divBdr>
    </w:div>
    <w:div w:id="337731207">
      <w:bodyDiv w:val="1"/>
      <w:marLeft w:val="0"/>
      <w:marRight w:val="0"/>
      <w:marTop w:val="0"/>
      <w:marBottom w:val="0"/>
      <w:divBdr>
        <w:top w:val="none" w:sz="0" w:space="0" w:color="auto"/>
        <w:left w:val="none" w:sz="0" w:space="0" w:color="auto"/>
        <w:bottom w:val="none" w:sz="0" w:space="0" w:color="auto"/>
        <w:right w:val="none" w:sz="0" w:space="0" w:color="auto"/>
      </w:divBdr>
    </w:div>
    <w:div w:id="402797301">
      <w:bodyDiv w:val="1"/>
      <w:marLeft w:val="0"/>
      <w:marRight w:val="0"/>
      <w:marTop w:val="0"/>
      <w:marBottom w:val="0"/>
      <w:divBdr>
        <w:top w:val="none" w:sz="0" w:space="0" w:color="auto"/>
        <w:left w:val="none" w:sz="0" w:space="0" w:color="auto"/>
        <w:bottom w:val="none" w:sz="0" w:space="0" w:color="auto"/>
        <w:right w:val="none" w:sz="0" w:space="0" w:color="auto"/>
      </w:divBdr>
    </w:div>
    <w:div w:id="408814507">
      <w:bodyDiv w:val="1"/>
      <w:marLeft w:val="0"/>
      <w:marRight w:val="0"/>
      <w:marTop w:val="0"/>
      <w:marBottom w:val="0"/>
      <w:divBdr>
        <w:top w:val="none" w:sz="0" w:space="0" w:color="auto"/>
        <w:left w:val="none" w:sz="0" w:space="0" w:color="auto"/>
        <w:bottom w:val="none" w:sz="0" w:space="0" w:color="auto"/>
        <w:right w:val="none" w:sz="0" w:space="0" w:color="auto"/>
      </w:divBdr>
    </w:div>
    <w:div w:id="410393832">
      <w:bodyDiv w:val="1"/>
      <w:marLeft w:val="0"/>
      <w:marRight w:val="0"/>
      <w:marTop w:val="0"/>
      <w:marBottom w:val="0"/>
      <w:divBdr>
        <w:top w:val="none" w:sz="0" w:space="0" w:color="auto"/>
        <w:left w:val="none" w:sz="0" w:space="0" w:color="auto"/>
        <w:bottom w:val="none" w:sz="0" w:space="0" w:color="auto"/>
        <w:right w:val="none" w:sz="0" w:space="0" w:color="auto"/>
      </w:divBdr>
    </w:div>
    <w:div w:id="423233187">
      <w:bodyDiv w:val="1"/>
      <w:marLeft w:val="0"/>
      <w:marRight w:val="0"/>
      <w:marTop w:val="0"/>
      <w:marBottom w:val="0"/>
      <w:divBdr>
        <w:top w:val="none" w:sz="0" w:space="0" w:color="auto"/>
        <w:left w:val="none" w:sz="0" w:space="0" w:color="auto"/>
        <w:bottom w:val="none" w:sz="0" w:space="0" w:color="auto"/>
        <w:right w:val="none" w:sz="0" w:space="0" w:color="auto"/>
      </w:divBdr>
    </w:div>
    <w:div w:id="487552217">
      <w:bodyDiv w:val="1"/>
      <w:marLeft w:val="0"/>
      <w:marRight w:val="0"/>
      <w:marTop w:val="0"/>
      <w:marBottom w:val="0"/>
      <w:divBdr>
        <w:top w:val="none" w:sz="0" w:space="0" w:color="auto"/>
        <w:left w:val="none" w:sz="0" w:space="0" w:color="auto"/>
        <w:bottom w:val="none" w:sz="0" w:space="0" w:color="auto"/>
        <w:right w:val="none" w:sz="0" w:space="0" w:color="auto"/>
      </w:divBdr>
    </w:div>
    <w:div w:id="501045152">
      <w:bodyDiv w:val="1"/>
      <w:marLeft w:val="0"/>
      <w:marRight w:val="0"/>
      <w:marTop w:val="0"/>
      <w:marBottom w:val="0"/>
      <w:divBdr>
        <w:top w:val="none" w:sz="0" w:space="0" w:color="auto"/>
        <w:left w:val="none" w:sz="0" w:space="0" w:color="auto"/>
        <w:bottom w:val="none" w:sz="0" w:space="0" w:color="auto"/>
        <w:right w:val="none" w:sz="0" w:space="0" w:color="auto"/>
      </w:divBdr>
      <w:divsChild>
        <w:div w:id="1014108519">
          <w:marLeft w:val="0"/>
          <w:marRight w:val="0"/>
          <w:marTop w:val="0"/>
          <w:marBottom w:val="0"/>
          <w:divBdr>
            <w:top w:val="none" w:sz="0" w:space="0" w:color="auto"/>
            <w:left w:val="none" w:sz="0" w:space="0" w:color="auto"/>
            <w:bottom w:val="none" w:sz="0" w:space="0" w:color="auto"/>
            <w:right w:val="none" w:sz="0" w:space="0" w:color="auto"/>
          </w:divBdr>
        </w:div>
      </w:divsChild>
    </w:div>
    <w:div w:id="518280461">
      <w:bodyDiv w:val="1"/>
      <w:marLeft w:val="0"/>
      <w:marRight w:val="0"/>
      <w:marTop w:val="0"/>
      <w:marBottom w:val="0"/>
      <w:divBdr>
        <w:top w:val="none" w:sz="0" w:space="0" w:color="auto"/>
        <w:left w:val="none" w:sz="0" w:space="0" w:color="auto"/>
        <w:bottom w:val="none" w:sz="0" w:space="0" w:color="auto"/>
        <w:right w:val="none" w:sz="0" w:space="0" w:color="auto"/>
      </w:divBdr>
    </w:div>
    <w:div w:id="520240766">
      <w:bodyDiv w:val="1"/>
      <w:marLeft w:val="0"/>
      <w:marRight w:val="0"/>
      <w:marTop w:val="0"/>
      <w:marBottom w:val="0"/>
      <w:divBdr>
        <w:top w:val="none" w:sz="0" w:space="0" w:color="auto"/>
        <w:left w:val="none" w:sz="0" w:space="0" w:color="auto"/>
        <w:bottom w:val="none" w:sz="0" w:space="0" w:color="auto"/>
        <w:right w:val="none" w:sz="0" w:space="0" w:color="auto"/>
      </w:divBdr>
    </w:div>
    <w:div w:id="601037371">
      <w:bodyDiv w:val="1"/>
      <w:marLeft w:val="0"/>
      <w:marRight w:val="0"/>
      <w:marTop w:val="0"/>
      <w:marBottom w:val="0"/>
      <w:divBdr>
        <w:top w:val="none" w:sz="0" w:space="0" w:color="auto"/>
        <w:left w:val="none" w:sz="0" w:space="0" w:color="auto"/>
        <w:bottom w:val="none" w:sz="0" w:space="0" w:color="auto"/>
        <w:right w:val="none" w:sz="0" w:space="0" w:color="auto"/>
      </w:divBdr>
    </w:div>
    <w:div w:id="616134294">
      <w:bodyDiv w:val="1"/>
      <w:marLeft w:val="0"/>
      <w:marRight w:val="0"/>
      <w:marTop w:val="0"/>
      <w:marBottom w:val="0"/>
      <w:divBdr>
        <w:top w:val="none" w:sz="0" w:space="0" w:color="auto"/>
        <w:left w:val="none" w:sz="0" w:space="0" w:color="auto"/>
        <w:bottom w:val="none" w:sz="0" w:space="0" w:color="auto"/>
        <w:right w:val="none" w:sz="0" w:space="0" w:color="auto"/>
      </w:divBdr>
    </w:div>
    <w:div w:id="665324676">
      <w:bodyDiv w:val="1"/>
      <w:marLeft w:val="0"/>
      <w:marRight w:val="0"/>
      <w:marTop w:val="0"/>
      <w:marBottom w:val="0"/>
      <w:divBdr>
        <w:top w:val="none" w:sz="0" w:space="0" w:color="auto"/>
        <w:left w:val="none" w:sz="0" w:space="0" w:color="auto"/>
        <w:bottom w:val="none" w:sz="0" w:space="0" w:color="auto"/>
        <w:right w:val="none" w:sz="0" w:space="0" w:color="auto"/>
      </w:divBdr>
    </w:div>
    <w:div w:id="704020056">
      <w:bodyDiv w:val="1"/>
      <w:marLeft w:val="0"/>
      <w:marRight w:val="0"/>
      <w:marTop w:val="0"/>
      <w:marBottom w:val="0"/>
      <w:divBdr>
        <w:top w:val="none" w:sz="0" w:space="0" w:color="auto"/>
        <w:left w:val="none" w:sz="0" w:space="0" w:color="auto"/>
        <w:bottom w:val="none" w:sz="0" w:space="0" w:color="auto"/>
        <w:right w:val="none" w:sz="0" w:space="0" w:color="auto"/>
      </w:divBdr>
    </w:div>
    <w:div w:id="771244411">
      <w:bodyDiv w:val="1"/>
      <w:marLeft w:val="0"/>
      <w:marRight w:val="0"/>
      <w:marTop w:val="0"/>
      <w:marBottom w:val="0"/>
      <w:divBdr>
        <w:top w:val="none" w:sz="0" w:space="0" w:color="auto"/>
        <w:left w:val="none" w:sz="0" w:space="0" w:color="auto"/>
        <w:bottom w:val="none" w:sz="0" w:space="0" w:color="auto"/>
        <w:right w:val="none" w:sz="0" w:space="0" w:color="auto"/>
      </w:divBdr>
      <w:divsChild>
        <w:div w:id="2133479130">
          <w:marLeft w:val="0"/>
          <w:marRight w:val="0"/>
          <w:marTop w:val="0"/>
          <w:marBottom w:val="0"/>
          <w:divBdr>
            <w:top w:val="none" w:sz="0" w:space="0" w:color="auto"/>
            <w:left w:val="none" w:sz="0" w:space="0" w:color="auto"/>
            <w:bottom w:val="none" w:sz="0" w:space="0" w:color="auto"/>
            <w:right w:val="none" w:sz="0" w:space="0" w:color="auto"/>
          </w:divBdr>
          <w:divsChild>
            <w:div w:id="114415321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1364487">
      <w:bodyDiv w:val="1"/>
      <w:marLeft w:val="0"/>
      <w:marRight w:val="0"/>
      <w:marTop w:val="0"/>
      <w:marBottom w:val="0"/>
      <w:divBdr>
        <w:top w:val="none" w:sz="0" w:space="0" w:color="auto"/>
        <w:left w:val="none" w:sz="0" w:space="0" w:color="auto"/>
        <w:bottom w:val="none" w:sz="0" w:space="0" w:color="auto"/>
        <w:right w:val="none" w:sz="0" w:space="0" w:color="auto"/>
      </w:divBdr>
    </w:div>
    <w:div w:id="809328376">
      <w:bodyDiv w:val="1"/>
      <w:marLeft w:val="0"/>
      <w:marRight w:val="0"/>
      <w:marTop w:val="0"/>
      <w:marBottom w:val="0"/>
      <w:divBdr>
        <w:top w:val="none" w:sz="0" w:space="0" w:color="auto"/>
        <w:left w:val="none" w:sz="0" w:space="0" w:color="auto"/>
        <w:bottom w:val="none" w:sz="0" w:space="0" w:color="auto"/>
        <w:right w:val="none" w:sz="0" w:space="0" w:color="auto"/>
      </w:divBdr>
    </w:div>
    <w:div w:id="814224606">
      <w:bodyDiv w:val="1"/>
      <w:marLeft w:val="0"/>
      <w:marRight w:val="0"/>
      <w:marTop w:val="0"/>
      <w:marBottom w:val="0"/>
      <w:divBdr>
        <w:top w:val="none" w:sz="0" w:space="0" w:color="auto"/>
        <w:left w:val="none" w:sz="0" w:space="0" w:color="auto"/>
        <w:bottom w:val="none" w:sz="0" w:space="0" w:color="auto"/>
        <w:right w:val="none" w:sz="0" w:space="0" w:color="auto"/>
      </w:divBdr>
    </w:div>
    <w:div w:id="878131896">
      <w:bodyDiv w:val="1"/>
      <w:marLeft w:val="0"/>
      <w:marRight w:val="0"/>
      <w:marTop w:val="0"/>
      <w:marBottom w:val="0"/>
      <w:divBdr>
        <w:top w:val="none" w:sz="0" w:space="0" w:color="auto"/>
        <w:left w:val="none" w:sz="0" w:space="0" w:color="auto"/>
        <w:bottom w:val="none" w:sz="0" w:space="0" w:color="auto"/>
        <w:right w:val="none" w:sz="0" w:space="0" w:color="auto"/>
      </w:divBdr>
    </w:div>
    <w:div w:id="897857347">
      <w:bodyDiv w:val="1"/>
      <w:marLeft w:val="0"/>
      <w:marRight w:val="0"/>
      <w:marTop w:val="0"/>
      <w:marBottom w:val="0"/>
      <w:divBdr>
        <w:top w:val="none" w:sz="0" w:space="0" w:color="auto"/>
        <w:left w:val="none" w:sz="0" w:space="0" w:color="auto"/>
        <w:bottom w:val="none" w:sz="0" w:space="0" w:color="auto"/>
        <w:right w:val="none" w:sz="0" w:space="0" w:color="auto"/>
      </w:divBdr>
    </w:div>
    <w:div w:id="907374703">
      <w:bodyDiv w:val="1"/>
      <w:marLeft w:val="0"/>
      <w:marRight w:val="0"/>
      <w:marTop w:val="0"/>
      <w:marBottom w:val="0"/>
      <w:divBdr>
        <w:top w:val="none" w:sz="0" w:space="0" w:color="auto"/>
        <w:left w:val="none" w:sz="0" w:space="0" w:color="auto"/>
        <w:bottom w:val="none" w:sz="0" w:space="0" w:color="auto"/>
        <w:right w:val="none" w:sz="0" w:space="0" w:color="auto"/>
      </w:divBdr>
    </w:div>
    <w:div w:id="968779143">
      <w:bodyDiv w:val="1"/>
      <w:marLeft w:val="0"/>
      <w:marRight w:val="0"/>
      <w:marTop w:val="0"/>
      <w:marBottom w:val="0"/>
      <w:divBdr>
        <w:top w:val="none" w:sz="0" w:space="0" w:color="auto"/>
        <w:left w:val="none" w:sz="0" w:space="0" w:color="auto"/>
        <w:bottom w:val="none" w:sz="0" w:space="0" w:color="auto"/>
        <w:right w:val="none" w:sz="0" w:space="0" w:color="auto"/>
      </w:divBdr>
    </w:div>
    <w:div w:id="972713631">
      <w:bodyDiv w:val="1"/>
      <w:marLeft w:val="0"/>
      <w:marRight w:val="0"/>
      <w:marTop w:val="0"/>
      <w:marBottom w:val="0"/>
      <w:divBdr>
        <w:top w:val="none" w:sz="0" w:space="0" w:color="auto"/>
        <w:left w:val="none" w:sz="0" w:space="0" w:color="auto"/>
        <w:bottom w:val="none" w:sz="0" w:space="0" w:color="auto"/>
        <w:right w:val="none" w:sz="0" w:space="0" w:color="auto"/>
      </w:divBdr>
    </w:div>
    <w:div w:id="978530608">
      <w:bodyDiv w:val="1"/>
      <w:marLeft w:val="0"/>
      <w:marRight w:val="0"/>
      <w:marTop w:val="0"/>
      <w:marBottom w:val="0"/>
      <w:divBdr>
        <w:top w:val="none" w:sz="0" w:space="0" w:color="auto"/>
        <w:left w:val="none" w:sz="0" w:space="0" w:color="auto"/>
        <w:bottom w:val="none" w:sz="0" w:space="0" w:color="auto"/>
        <w:right w:val="none" w:sz="0" w:space="0" w:color="auto"/>
      </w:divBdr>
    </w:div>
    <w:div w:id="982543006">
      <w:bodyDiv w:val="1"/>
      <w:marLeft w:val="0"/>
      <w:marRight w:val="0"/>
      <w:marTop w:val="0"/>
      <w:marBottom w:val="0"/>
      <w:divBdr>
        <w:top w:val="none" w:sz="0" w:space="0" w:color="auto"/>
        <w:left w:val="none" w:sz="0" w:space="0" w:color="auto"/>
        <w:bottom w:val="none" w:sz="0" w:space="0" w:color="auto"/>
        <w:right w:val="none" w:sz="0" w:space="0" w:color="auto"/>
      </w:divBdr>
    </w:div>
    <w:div w:id="1020160695">
      <w:bodyDiv w:val="1"/>
      <w:marLeft w:val="0"/>
      <w:marRight w:val="0"/>
      <w:marTop w:val="0"/>
      <w:marBottom w:val="0"/>
      <w:divBdr>
        <w:top w:val="none" w:sz="0" w:space="0" w:color="auto"/>
        <w:left w:val="none" w:sz="0" w:space="0" w:color="auto"/>
        <w:bottom w:val="none" w:sz="0" w:space="0" w:color="auto"/>
        <w:right w:val="none" w:sz="0" w:space="0" w:color="auto"/>
      </w:divBdr>
    </w:div>
    <w:div w:id="1065227042">
      <w:bodyDiv w:val="1"/>
      <w:marLeft w:val="0"/>
      <w:marRight w:val="0"/>
      <w:marTop w:val="0"/>
      <w:marBottom w:val="0"/>
      <w:divBdr>
        <w:top w:val="none" w:sz="0" w:space="0" w:color="auto"/>
        <w:left w:val="none" w:sz="0" w:space="0" w:color="auto"/>
        <w:bottom w:val="none" w:sz="0" w:space="0" w:color="auto"/>
        <w:right w:val="none" w:sz="0" w:space="0" w:color="auto"/>
      </w:divBdr>
    </w:div>
    <w:div w:id="1097141458">
      <w:bodyDiv w:val="1"/>
      <w:marLeft w:val="0"/>
      <w:marRight w:val="0"/>
      <w:marTop w:val="0"/>
      <w:marBottom w:val="0"/>
      <w:divBdr>
        <w:top w:val="none" w:sz="0" w:space="0" w:color="auto"/>
        <w:left w:val="none" w:sz="0" w:space="0" w:color="auto"/>
        <w:bottom w:val="none" w:sz="0" w:space="0" w:color="auto"/>
        <w:right w:val="none" w:sz="0" w:space="0" w:color="auto"/>
      </w:divBdr>
    </w:div>
    <w:div w:id="1116565013">
      <w:bodyDiv w:val="1"/>
      <w:marLeft w:val="0"/>
      <w:marRight w:val="0"/>
      <w:marTop w:val="0"/>
      <w:marBottom w:val="0"/>
      <w:divBdr>
        <w:top w:val="none" w:sz="0" w:space="0" w:color="auto"/>
        <w:left w:val="none" w:sz="0" w:space="0" w:color="auto"/>
        <w:bottom w:val="none" w:sz="0" w:space="0" w:color="auto"/>
        <w:right w:val="none" w:sz="0" w:space="0" w:color="auto"/>
      </w:divBdr>
    </w:div>
    <w:div w:id="1144666455">
      <w:bodyDiv w:val="1"/>
      <w:marLeft w:val="0"/>
      <w:marRight w:val="0"/>
      <w:marTop w:val="0"/>
      <w:marBottom w:val="0"/>
      <w:divBdr>
        <w:top w:val="none" w:sz="0" w:space="0" w:color="auto"/>
        <w:left w:val="none" w:sz="0" w:space="0" w:color="auto"/>
        <w:bottom w:val="none" w:sz="0" w:space="0" w:color="auto"/>
        <w:right w:val="none" w:sz="0" w:space="0" w:color="auto"/>
      </w:divBdr>
    </w:div>
    <w:div w:id="1159539955">
      <w:bodyDiv w:val="1"/>
      <w:marLeft w:val="0"/>
      <w:marRight w:val="0"/>
      <w:marTop w:val="0"/>
      <w:marBottom w:val="0"/>
      <w:divBdr>
        <w:top w:val="none" w:sz="0" w:space="0" w:color="auto"/>
        <w:left w:val="none" w:sz="0" w:space="0" w:color="auto"/>
        <w:bottom w:val="none" w:sz="0" w:space="0" w:color="auto"/>
        <w:right w:val="none" w:sz="0" w:space="0" w:color="auto"/>
      </w:divBdr>
    </w:div>
    <w:div w:id="1251230037">
      <w:bodyDiv w:val="1"/>
      <w:marLeft w:val="0"/>
      <w:marRight w:val="0"/>
      <w:marTop w:val="0"/>
      <w:marBottom w:val="0"/>
      <w:divBdr>
        <w:top w:val="none" w:sz="0" w:space="0" w:color="auto"/>
        <w:left w:val="none" w:sz="0" w:space="0" w:color="auto"/>
        <w:bottom w:val="none" w:sz="0" w:space="0" w:color="auto"/>
        <w:right w:val="none" w:sz="0" w:space="0" w:color="auto"/>
      </w:divBdr>
      <w:divsChild>
        <w:div w:id="2014138926">
          <w:marLeft w:val="0"/>
          <w:marRight w:val="0"/>
          <w:marTop w:val="0"/>
          <w:marBottom w:val="0"/>
          <w:divBdr>
            <w:top w:val="none" w:sz="0" w:space="0" w:color="auto"/>
            <w:left w:val="none" w:sz="0" w:space="0" w:color="auto"/>
            <w:bottom w:val="none" w:sz="0" w:space="0" w:color="auto"/>
            <w:right w:val="none" w:sz="0" w:space="0" w:color="auto"/>
          </w:divBdr>
          <w:divsChild>
            <w:div w:id="78257571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54051861">
      <w:bodyDiv w:val="1"/>
      <w:marLeft w:val="0"/>
      <w:marRight w:val="0"/>
      <w:marTop w:val="0"/>
      <w:marBottom w:val="0"/>
      <w:divBdr>
        <w:top w:val="none" w:sz="0" w:space="0" w:color="auto"/>
        <w:left w:val="none" w:sz="0" w:space="0" w:color="auto"/>
        <w:bottom w:val="none" w:sz="0" w:space="0" w:color="auto"/>
        <w:right w:val="none" w:sz="0" w:space="0" w:color="auto"/>
      </w:divBdr>
    </w:div>
    <w:div w:id="1278299093">
      <w:bodyDiv w:val="1"/>
      <w:marLeft w:val="0"/>
      <w:marRight w:val="0"/>
      <w:marTop w:val="0"/>
      <w:marBottom w:val="0"/>
      <w:divBdr>
        <w:top w:val="none" w:sz="0" w:space="0" w:color="auto"/>
        <w:left w:val="none" w:sz="0" w:space="0" w:color="auto"/>
        <w:bottom w:val="none" w:sz="0" w:space="0" w:color="auto"/>
        <w:right w:val="none" w:sz="0" w:space="0" w:color="auto"/>
      </w:divBdr>
    </w:div>
    <w:div w:id="1379815675">
      <w:bodyDiv w:val="1"/>
      <w:marLeft w:val="0"/>
      <w:marRight w:val="0"/>
      <w:marTop w:val="0"/>
      <w:marBottom w:val="0"/>
      <w:divBdr>
        <w:top w:val="none" w:sz="0" w:space="0" w:color="auto"/>
        <w:left w:val="none" w:sz="0" w:space="0" w:color="auto"/>
        <w:bottom w:val="none" w:sz="0" w:space="0" w:color="auto"/>
        <w:right w:val="none" w:sz="0" w:space="0" w:color="auto"/>
      </w:divBdr>
    </w:div>
    <w:div w:id="1382628163">
      <w:bodyDiv w:val="1"/>
      <w:marLeft w:val="0"/>
      <w:marRight w:val="0"/>
      <w:marTop w:val="0"/>
      <w:marBottom w:val="0"/>
      <w:divBdr>
        <w:top w:val="none" w:sz="0" w:space="0" w:color="auto"/>
        <w:left w:val="none" w:sz="0" w:space="0" w:color="auto"/>
        <w:bottom w:val="none" w:sz="0" w:space="0" w:color="auto"/>
        <w:right w:val="none" w:sz="0" w:space="0" w:color="auto"/>
      </w:divBdr>
    </w:div>
    <w:div w:id="1385517604">
      <w:bodyDiv w:val="1"/>
      <w:marLeft w:val="0"/>
      <w:marRight w:val="0"/>
      <w:marTop w:val="0"/>
      <w:marBottom w:val="0"/>
      <w:divBdr>
        <w:top w:val="none" w:sz="0" w:space="0" w:color="auto"/>
        <w:left w:val="none" w:sz="0" w:space="0" w:color="auto"/>
        <w:bottom w:val="none" w:sz="0" w:space="0" w:color="auto"/>
        <w:right w:val="none" w:sz="0" w:space="0" w:color="auto"/>
      </w:divBdr>
    </w:div>
    <w:div w:id="1403674573">
      <w:bodyDiv w:val="1"/>
      <w:marLeft w:val="0"/>
      <w:marRight w:val="0"/>
      <w:marTop w:val="0"/>
      <w:marBottom w:val="0"/>
      <w:divBdr>
        <w:top w:val="none" w:sz="0" w:space="0" w:color="auto"/>
        <w:left w:val="none" w:sz="0" w:space="0" w:color="auto"/>
        <w:bottom w:val="none" w:sz="0" w:space="0" w:color="auto"/>
        <w:right w:val="none" w:sz="0" w:space="0" w:color="auto"/>
      </w:divBdr>
    </w:div>
    <w:div w:id="1473981155">
      <w:bodyDiv w:val="1"/>
      <w:marLeft w:val="0"/>
      <w:marRight w:val="0"/>
      <w:marTop w:val="0"/>
      <w:marBottom w:val="0"/>
      <w:divBdr>
        <w:top w:val="none" w:sz="0" w:space="0" w:color="auto"/>
        <w:left w:val="none" w:sz="0" w:space="0" w:color="auto"/>
        <w:bottom w:val="none" w:sz="0" w:space="0" w:color="auto"/>
        <w:right w:val="none" w:sz="0" w:space="0" w:color="auto"/>
      </w:divBdr>
    </w:div>
    <w:div w:id="1541018191">
      <w:bodyDiv w:val="1"/>
      <w:marLeft w:val="0"/>
      <w:marRight w:val="0"/>
      <w:marTop w:val="0"/>
      <w:marBottom w:val="0"/>
      <w:divBdr>
        <w:top w:val="none" w:sz="0" w:space="0" w:color="auto"/>
        <w:left w:val="none" w:sz="0" w:space="0" w:color="auto"/>
        <w:bottom w:val="none" w:sz="0" w:space="0" w:color="auto"/>
        <w:right w:val="none" w:sz="0" w:space="0" w:color="auto"/>
      </w:divBdr>
    </w:div>
    <w:div w:id="1602183959">
      <w:bodyDiv w:val="1"/>
      <w:marLeft w:val="0"/>
      <w:marRight w:val="0"/>
      <w:marTop w:val="0"/>
      <w:marBottom w:val="0"/>
      <w:divBdr>
        <w:top w:val="none" w:sz="0" w:space="0" w:color="auto"/>
        <w:left w:val="none" w:sz="0" w:space="0" w:color="auto"/>
        <w:bottom w:val="none" w:sz="0" w:space="0" w:color="auto"/>
        <w:right w:val="none" w:sz="0" w:space="0" w:color="auto"/>
      </w:divBdr>
    </w:div>
    <w:div w:id="1703824124">
      <w:bodyDiv w:val="1"/>
      <w:marLeft w:val="0"/>
      <w:marRight w:val="0"/>
      <w:marTop w:val="0"/>
      <w:marBottom w:val="0"/>
      <w:divBdr>
        <w:top w:val="none" w:sz="0" w:space="0" w:color="auto"/>
        <w:left w:val="none" w:sz="0" w:space="0" w:color="auto"/>
        <w:bottom w:val="none" w:sz="0" w:space="0" w:color="auto"/>
        <w:right w:val="none" w:sz="0" w:space="0" w:color="auto"/>
      </w:divBdr>
    </w:div>
    <w:div w:id="1741176388">
      <w:bodyDiv w:val="1"/>
      <w:marLeft w:val="0"/>
      <w:marRight w:val="0"/>
      <w:marTop w:val="0"/>
      <w:marBottom w:val="0"/>
      <w:divBdr>
        <w:top w:val="none" w:sz="0" w:space="0" w:color="auto"/>
        <w:left w:val="none" w:sz="0" w:space="0" w:color="auto"/>
        <w:bottom w:val="none" w:sz="0" w:space="0" w:color="auto"/>
        <w:right w:val="none" w:sz="0" w:space="0" w:color="auto"/>
      </w:divBdr>
      <w:divsChild>
        <w:div w:id="429735903">
          <w:marLeft w:val="0"/>
          <w:marRight w:val="0"/>
          <w:marTop w:val="0"/>
          <w:marBottom w:val="0"/>
          <w:divBdr>
            <w:top w:val="none" w:sz="0" w:space="0" w:color="auto"/>
            <w:left w:val="none" w:sz="0" w:space="0" w:color="auto"/>
            <w:bottom w:val="none" w:sz="0" w:space="0" w:color="auto"/>
            <w:right w:val="none" w:sz="0" w:space="0" w:color="auto"/>
          </w:divBdr>
          <w:divsChild>
            <w:div w:id="171812285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774662418">
      <w:bodyDiv w:val="1"/>
      <w:marLeft w:val="0"/>
      <w:marRight w:val="0"/>
      <w:marTop w:val="0"/>
      <w:marBottom w:val="0"/>
      <w:divBdr>
        <w:top w:val="none" w:sz="0" w:space="0" w:color="auto"/>
        <w:left w:val="none" w:sz="0" w:space="0" w:color="auto"/>
        <w:bottom w:val="none" w:sz="0" w:space="0" w:color="auto"/>
        <w:right w:val="none" w:sz="0" w:space="0" w:color="auto"/>
      </w:divBdr>
    </w:div>
    <w:div w:id="1921870870">
      <w:bodyDiv w:val="1"/>
      <w:marLeft w:val="0"/>
      <w:marRight w:val="0"/>
      <w:marTop w:val="0"/>
      <w:marBottom w:val="0"/>
      <w:divBdr>
        <w:top w:val="none" w:sz="0" w:space="0" w:color="auto"/>
        <w:left w:val="none" w:sz="0" w:space="0" w:color="auto"/>
        <w:bottom w:val="none" w:sz="0" w:space="0" w:color="auto"/>
        <w:right w:val="none" w:sz="0" w:space="0" w:color="auto"/>
      </w:divBdr>
    </w:div>
    <w:div w:id="1942178323">
      <w:bodyDiv w:val="1"/>
      <w:marLeft w:val="0"/>
      <w:marRight w:val="0"/>
      <w:marTop w:val="0"/>
      <w:marBottom w:val="0"/>
      <w:divBdr>
        <w:top w:val="none" w:sz="0" w:space="0" w:color="auto"/>
        <w:left w:val="none" w:sz="0" w:space="0" w:color="auto"/>
        <w:bottom w:val="none" w:sz="0" w:space="0" w:color="auto"/>
        <w:right w:val="none" w:sz="0" w:space="0" w:color="auto"/>
      </w:divBdr>
    </w:div>
    <w:div w:id="1942370885">
      <w:bodyDiv w:val="1"/>
      <w:marLeft w:val="0"/>
      <w:marRight w:val="0"/>
      <w:marTop w:val="0"/>
      <w:marBottom w:val="0"/>
      <w:divBdr>
        <w:top w:val="none" w:sz="0" w:space="0" w:color="auto"/>
        <w:left w:val="none" w:sz="0" w:space="0" w:color="auto"/>
        <w:bottom w:val="none" w:sz="0" w:space="0" w:color="auto"/>
        <w:right w:val="none" w:sz="0" w:space="0" w:color="auto"/>
      </w:divBdr>
    </w:div>
    <w:div w:id="1968462199">
      <w:bodyDiv w:val="1"/>
      <w:marLeft w:val="0"/>
      <w:marRight w:val="0"/>
      <w:marTop w:val="0"/>
      <w:marBottom w:val="0"/>
      <w:divBdr>
        <w:top w:val="none" w:sz="0" w:space="0" w:color="auto"/>
        <w:left w:val="none" w:sz="0" w:space="0" w:color="auto"/>
        <w:bottom w:val="none" w:sz="0" w:space="0" w:color="auto"/>
        <w:right w:val="none" w:sz="0" w:space="0" w:color="auto"/>
      </w:divBdr>
    </w:div>
    <w:div w:id="1970931724">
      <w:bodyDiv w:val="1"/>
      <w:marLeft w:val="0"/>
      <w:marRight w:val="0"/>
      <w:marTop w:val="0"/>
      <w:marBottom w:val="0"/>
      <w:divBdr>
        <w:top w:val="none" w:sz="0" w:space="0" w:color="auto"/>
        <w:left w:val="none" w:sz="0" w:space="0" w:color="auto"/>
        <w:bottom w:val="none" w:sz="0" w:space="0" w:color="auto"/>
        <w:right w:val="none" w:sz="0" w:space="0" w:color="auto"/>
      </w:divBdr>
    </w:div>
    <w:div w:id="1981953625">
      <w:bodyDiv w:val="1"/>
      <w:marLeft w:val="0"/>
      <w:marRight w:val="0"/>
      <w:marTop w:val="0"/>
      <w:marBottom w:val="0"/>
      <w:divBdr>
        <w:top w:val="none" w:sz="0" w:space="0" w:color="auto"/>
        <w:left w:val="none" w:sz="0" w:space="0" w:color="auto"/>
        <w:bottom w:val="none" w:sz="0" w:space="0" w:color="auto"/>
        <w:right w:val="none" w:sz="0" w:space="0" w:color="auto"/>
      </w:divBdr>
    </w:div>
    <w:div w:id="2065637649">
      <w:bodyDiv w:val="1"/>
      <w:marLeft w:val="0"/>
      <w:marRight w:val="0"/>
      <w:marTop w:val="0"/>
      <w:marBottom w:val="0"/>
      <w:divBdr>
        <w:top w:val="none" w:sz="0" w:space="0" w:color="auto"/>
        <w:left w:val="none" w:sz="0" w:space="0" w:color="auto"/>
        <w:bottom w:val="none" w:sz="0" w:space="0" w:color="auto"/>
        <w:right w:val="none" w:sz="0" w:space="0" w:color="auto"/>
      </w:divBdr>
      <w:divsChild>
        <w:div w:id="982388593">
          <w:marLeft w:val="0"/>
          <w:marRight w:val="0"/>
          <w:marTop w:val="0"/>
          <w:marBottom w:val="0"/>
          <w:divBdr>
            <w:top w:val="none" w:sz="0" w:space="0" w:color="auto"/>
            <w:left w:val="none" w:sz="0" w:space="0" w:color="auto"/>
            <w:bottom w:val="none" w:sz="0" w:space="0" w:color="auto"/>
            <w:right w:val="none" w:sz="0" w:space="0" w:color="auto"/>
          </w:divBdr>
          <w:divsChild>
            <w:div w:id="204061701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754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2.png"/><Relationship Id="rId26" Type="http://schemas.openxmlformats.org/officeDocument/2006/relationships/chart" Target="charts/chart14.xml"/><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chart" Target="charts/chart9.xml"/><Relationship Id="rId34" Type="http://schemas.openxmlformats.org/officeDocument/2006/relationships/image" Target="media/image6.emf"/><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1.png"/><Relationship Id="rId25" Type="http://schemas.openxmlformats.org/officeDocument/2006/relationships/chart" Target="charts/chart13.xml"/><Relationship Id="rId33" Type="http://schemas.openxmlformats.org/officeDocument/2006/relationships/header" Target="header2.xml"/><Relationship Id="rId38"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8.xml"/><Relationship Id="rId29" Type="http://schemas.openxmlformats.org/officeDocument/2006/relationships/image" Target="media/image5.pn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footer" Target="footer2.xml"/><Relationship Id="rId37" Type="http://schemas.openxmlformats.org/officeDocument/2006/relationships/image" Target="media/image9.emf"/><Relationship Id="rId40" Type="http://schemas.openxmlformats.org/officeDocument/2006/relationships/image" Target="media/image12.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image" Target="media/image4.png"/><Relationship Id="rId36"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image" Target="media/image7.emf"/><Relationship Id="rId43"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blp\data\XLS39ACO.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B\Desktop\WB.v5.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2.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3.bin"/></Relationships>
</file>

<file path=word/charts/_rels/chart13.xml.rels><?xml version="1.0" encoding="UTF-8" standalone="yes"?>
<Relationships xmlns="http://schemas.openxmlformats.org/package/2006/relationships"><Relationship Id="rId3" Type="http://schemas.openxmlformats.org/officeDocument/2006/relationships/oleObject" Target="file:///C:\blp\data\XLS39ACO.xls"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xml"/></Relationships>
</file>

<file path=word/charts/_rels/chart14.xml.rels><?xml version="1.0" encoding="UTF-8" standalone="yes"?>
<Relationships xmlns="http://schemas.openxmlformats.org/package/2006/relationships"><Relationship Id="rId1" Type="http://schemas.openxmlformats.org/officeDocument/2006/relationships/oleObject" Target="file:///C:\blp\data\grid1_5chmeybn.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chael\Desktop\Timelo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B\Downloads\WB.v6%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chael\Desktop\Timelo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B\Downloads\WB.v6%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chael\Desktop\Timelo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1.bin"/></Relationships>
</file>

<file path=word/charts/_rels/chart8.xml.rels><?xml version="1.0" encoding="UTF-8" standalone="yes"?>
<Relationships xmlns="http://schemas.openxmlformats.org/package/2006/relationships"><Relationship Id="rId3" Type="http://schemas.openxmlformats.org/officeDocument/2006/relationships/oleObject" Target="file:///C:\Users\Michael\Downloads\WB.v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13246111\Downloads\WB.v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sz="900" b="1"/>
              <a:t>1-Year Share Price Movement</a:t>
            </a:r>
          </a:p>
        </c:rich>
      </c:tx>
      <c:layout>
        <c:manualLayout>
          <c:xMode val="edge"/>
          <c:yMode val="edge"/>
          <c:x val="0.25023926063296142"/>
          <c:y val="4.015643936859167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plotArea>
      <c:layout>
        <c:manualLayout>
          <c:layoutTarget val="inner"/>
          <c:xMode val="edge"/>
          <c:yMode val="edge"/>
          <c:x val="0.14338834511357723"/>
          <c:y val="0.12320837028477243"/>
          <c:w val="0.78100851029984886"/>
          <c:h val="0.68267806114679352"/>
        </c:manualLayout>
      </c:layout>
      <c:lineChart>
        <c:grouping val="standard"/>
        <c:varyColors val="0"/>
        <c:ser>
          <c:idx val="0"/>
          <c:order val="0"/>
          <c:spPr>
            <a:ln w="6350" cap="rnd">
              <a:solidFill>
                <a:schemeClr val="bg1"/>
              </a:solidFill>
              <a:round/>
            </a:ln>
            <a:effectLst/>
          </c:spPr>
          <c:marker>
            <c:symbol val="none"/>
          </c:marker>
          <c:cat>
            <c:strRef>
              <c:f>Sheet2!$F$1:$F$266</c:f>
              <c:strCache>
                <c:ptCount val="266"/>
                <c:pt idx="0">
                  <c:v>01/15/2015</c:v>
                </c:pt>
                <c:pt idx="1">
                  <c:v>01/16/2015</c:v>
                </c:pt>
                <c:pt idx="2">
                  <c:v>01/19/2015</c:v>
                </c:pt>
                <c:pt idx="3">
                  <c:v>01/20/2015</c:v>
                </c:pt>
                <c:pt idx="4">
                  <c:v>01/21/2015</c:v>
                </c:pt>
                <c:pt idx="5">
                  <c:v>01/22/2015</c:v>
                </c:pt>
                <c:pt idx="6">
                  <c:v>01/23/2015</c:v>
                </c:pt>
                <c:pt idx="7">
                  <c:v>01/26/2015</c:v>
                </c:pt>
                <c:pt idx="8">
                  <c:v>01/27/2015</c:v>
                </c:pt>
                <c:pt idx="9">
                  <c:v>01/28/2015</c:v>
                </c:pt>
                <c:pt idx="10">
                  <c:v>01/29/2015</c:v>
                </c:pt>
                <c:pt idx="11">
                  <c:v>01/30/2015</c:v>
                </c:pt>
                <c:pt idx="12">
                  <c:v>02-02-2015</c:v>
                </c:pt>
                <c:pt idx="13">
                  <c:v>02-03-2015</c:v>
                </c:pt>
                <c:pt idx="14">
                  <c:v>02-04-2015</c:v>
                </c:pt>
                <c:pt idx="15">
                  <c:v>02-05-2015</c:v>
                </c:pt>
                <c:pt idx="16">
                  <c:v>02-06-2015</c:v>
                </c:pt>
                <c:pt idx="17">
                  <c:v>02-09-2015</c:v>
                </c:pt>
                <c:pt idx="18">
                  <c:v>02-10-2015</c:v>
                </c:pt>
                <c:pt idx="19">
                  <c:v>02-11-2015</c:v>
                </c:pt>
                <c:pt idx="20">
                  <c:v>02-12-2015</c:v>
                </c:pt>
                <c:pt idx="21">
                  <c:v>02/13/2015</c:v>
                </c:pt>
                <c:pt idx="22">
                  <c:v>02/17/2015</c:v>
                </c:pt>
                <c:pt idx="23">
                  <c:v>02/18/2015</c:v>
                </c:pt>
                <c:pt idx="24">
                  <c:v>02/19/2015</c:v>
                </c:pt>
                <c:pt idx="25">
                  <c:v>02/20/2015</c:v>
                </c:pt>
                <c:pt idx="26">
                  <c:v>02/23/2015</c:v>
                </c:pt>
                <c:pt idx="27">
                  <c:v>02/24/2015</c:v>
                </c:pt>
                <c:pt idx="28">
                  <c:v>02/25/2015</c:v>
                </c:pt>
                <c:pt idx="29">
                  <c:v>02/26/2015</c:v>
                </c:pt>
                <c:pt idx="30">
                  <c:v>02/27/2015</c:v>
                </c:pt>
                <c:pt idx="31">
                  <c:v>03-02-2015</c:v>
                </c:pt>
                <c:pt idx="32">
                  <c:v>03-03-2015</c:v>
                </c:pt>
                <c:pt idx="33">
                  <c:v>03-04-2015</c:v>
                </c:pt>
                <c:pt idx="34">
                  <c:v>03-05-2015</c:v>
                </c:pt>
                <c:pt idx="35">
                  <c:v>03-06-2015</c:v>
                </c:pt>
                <c:pt idx="36">
                  <c:v>03-09-2015</c:v>
                </c:pt>
                <c:pt idx="37">
                  <c:v>03-10-2015</c:v>
                </c:pt>
                <c:pt idx="38">
                  <c:v>03-11-2015</c:v>
                </c:pt>
                <c:pt idx="39">
                  <c:v>03-12-2015</c:v>
                </c:pt>
                <c:pt idx="40">
                  <c:v>03/13/2015</c:v>
                </c:pt>
                <c:pt idx="41">
                  <c:v>03/16/2015</c:v>
                </c:pt>
                <c:pt idx="42">
                  <c:v>03/17/2015</c:v>
                </c:pt>
                <c:pt idx="43">
                  <c:v>03/18/2015</c:v>
                </c:pt>
                <c:pt idx="44">
                  <c:v>03/19/2015</c:v>
                </c:pt>
                <c:pt idx="45">
                  <c:v>03/20/2015</c:v>
                </c:pt>
                <c:pt idx="46">
                  <c:v>03/23/2015</c:v>
                </c:pt>
                <c:pt idx="47">
                  <c:v>03/24/2015</c:v>
                </c:pt>
                <c:pt idx="48">
                  <c:v>03/25/2015</c:v>
                </c:pt>
                <c:pt idx="49">
                  <c:v>03/26/2015</c:v>
                </c:pt>
                <c:pt idx="50">
                  <c:v>03/27/2015</c:v>
                </c:pt>
                <c:pt idx="51">
                  <c:v>03/30/2015</c:v>
                </c:pt>
                <c:pt idx="52">
                  <c:v>03/31/2015</c:v>
                </c:pt>
                <c:pt idx="53">
                  <c:v>04-01-2015</c:v>
                </c:pt>
                <c:pt idx="54">
                  <c:v>04-02-2015</c:v>
                </c:pt>
                <c:pt idx="55">
                  <c:v>04-06-2015</c:v>
                </c:pt>
                <c:pt idx="56">
                  <c:v>04-07-2015</c:v>
                </c:pt>
                <c:pt idx="57">
                  <c:v>04-08-2015</c:v>
                </c:pt>
                <c:pt idx="58">
                  <c:v>04-09-2015</c:v>
                </c:pt>
                <c:pt idx="59">
                  <c:v>04-10-2015</c:v>
                </c:pt>
                <c:pt idx="60">
                  <c:v>04/13/2015</c:v>
                </c:pt>
                <c:pt idx="61">
                  <c:v>04/14/2015</c:v>
                </c:pt>
                <c:pt idx="62">
                  <c:v>04/15/2015</c:v>
                </c:pt>
                <c:pt idx="63">
                  <c:v>04/16/2015</c:v>
                </c:pt>
                <c:pt idx="64">
                  <c:v>04/17/2015</c:v>
                </c:pt>
                <c:pt idx="65">
                  <c:v>04/20/2015</c:v>
                </c:pt>
                <c:pt idx="66">
                  <c:v>04/21/2015</c:v>
                </c:pt>
                <c:pt idx="67">
                  <c:v>04/22/2015</c:v>
                </c:pt>
                <c:pt idx="68">
                  <c:v>04/23/2015</c:v>
                </c:pt>
                <c:pt idx="69">
                  <c:v>04/24/2015</c:v>
                </c:pt>
                <c:pt idx="70">
                  <c:v>04/27/2015</c:v>
                </c:pt>
                <c:pt idx="71">
                  <c:v>04/28/2015</c:v>
                </c:pt>
                <c:pt idx="72">
                  <c:v>04/29/2015</c:v>
                </c:pt>
                <c:pt idx="73">
                  <c:v>04/30/2015</c:v>
                </c:pt>
                <c:pt idx="74">
                  <c:v>05-01-2015</c:v>
                </c:pt>
                <c:pt idx="75">
                  <c:v>05-04-2015</c:v>
                </c:pt>
                <c:pt idx="76">
                  <c:v>05-05-2015</c:v>
                </c:pt>
                <c:pt idx="77">
                  <c:v>05-06-2015</c:v>
                </c:pt>
                <c:pt idx="78">
                  <c:v>05-07-2015</c:v>
                </c:pt>
                <c:pt idx="79">
                  <c:v>05-08-2015</c:v>
                </c:pt>
                <c:pt idx="80">
                  <c:v>05-11-2015</c:v>
                </c:pt>
                <c:pt idx="81">
                  <c:v>05-12-2015</c:v>
                </c:pt>
                <c:pt idx="82">
                  <c:v>05/13/2015</c:v>
                </c:pt>
                <c:pt idx="83">
                  <c:v>05/14/2015</c:v>
                </c:pt>
                <c:pt idx="84">
                  <c:v>05/15/2015</c:v>
                </c:pt>
                <c:pt idx="85">
                  <c:v>05/19/2015</c:v>
                </c:pt>
                <c:pt idx="86">
                  <c:v>05/20/2015</c:v>
                </c:pt>
                <c:pt idx="87">
                  <c:v>05/21/2015</c:v>
                </c:pt>
                <c:pt idx="88">
                  <c:v>05/22/2015</c:v>
                </c:pt>
                <c:pt idx="89">
                  <c:v>05/25/2015</c:v>
                </c:pt>
                <c:pt idx="90">
                  <c:v>05/26/2015</c:v>
                </c:pt>
                <c:pt idx="91">
                  <c:v>05/27/2015</c:v>
                </c:pt>
                <c:pt idx="92">
                  <c:v>05/28/2015</c:v>
                </c:pt>
                <c:pt idx="93">
                  <c:v>05/29/2015</c:v>
                </c:pt>
                <c:pt idx="94">
                  <c:v>06-01-2015</c:v>
                </c:pt>
                <c:pt idx="95">
                  <c:v>06-02-2015</c:v>
                </c:pt>
                <c:pt idx="96">
                  <c:v>06-03-2015</c:v>
                </c:pt>
                <c:pt idx="97">
                  <c:v>06-04-2015</c:v>
                </c:pt>
                <c:pt idx="98">
                  <c:v>06-05-2015</c:v>
                </c:pt>
                <c:pt idx="99">
                  <c:v>06-08-2015</c:v>
                </c:pt>
                <c:pt idx="100">
                  <c:v>06-09-2015</c:v>
                </c:pt>
                <c:pt idx="101">
                  <c:v>06-10-2015</c:v>
                </c:pt>
                <c:pt idx="102">
                  <c:v>06-11-2015</c:v>
                </c:pt>
                <c:pt idx="103">
                  <c:v>06-12-2015</c:v>
                </c:pt>
                <c:pt idx="104">
                  <c:v>06/15/2015</c:v>
                </c:pt>
                <c:pt idx="105">
                  <c:v>06/16/2015</c:v>
                </c:pt>
                <c:pt idx="106">
                  <c:v>06/17/2015</c:v>
                </c:pt>
                <c:pt idx="107">
                  <c:v>06/18/2015</c:v>
                </c:pt>
                <c:pt idx="108">
                  <c:v>06/19/2015</c:v>
                </c:pt>
                <c:pt idx="109">
                  <c:v>06/22/2015</c:v>
                </c:pt>
                <c:pt idx="110">
                  <c:v>06/23/2015</c:v>
                </c:pt>
                <c:pt idx="111">
                  <c:v>06/24/2015</c:v>
                </c:pt>
                <c:pt idx="112">
                  <c:v>06/25/2015</c:v>
                </c:pt>
                <c:pt idx="113">
                  <c:v>06/26/2015</c:v>
                </c:pt>
                <c:pt idx="114">
                  <c:v>06/29/2015</c:v>
                </c:pt>
                <c:pt idx="115">
                  <c:v>06/30/2015</c:v>
                </c:pt>
                <c:pt idx="116">
                  <c:v>07-02-2015</c:v>
                </c:pt>
                <c:pt idx="117">
                  <c:v>07-03-2015</c:v>
                </c:pt>
                <c:pt idx="118">
                  <c:v>07-06-2015</c:v>
                </c:pt>
                <c:pt idx="119">
                  <c:v>07-07-2015</c:v>
                </c:pt>
                <c:pt idx="120">
                  <c:v>07-08-2015</c:v>
                </c:pt>
                <c:pt idx="121">
                  <c:v>07-09-2015</c:v>
                </c:pt>
                <c:pt idx="122">
                  <c:v>07-10-2015</c:v>
                </c:pt>
                <c:pt idx="123">
                  <c:v>07/13/2015</c:v>
                </c:pt>
                <c:pt idx="124">
                  <c:v>07/14/2015</c:v>
                </c:pt>
                <c:pt idx="125">
                  <c:v>07/15/2015</c:v>
                </c:pt>
                <c:pt idx="126">
                  <c:v>07/16/2015</c:v>
                </c:pt>
                <c:pt idx="127">
                  <c:v>07/17/2015</c:v>
                </c:pt>
                <c:pt idx="128">
                  <c:v>07/20/2015</c:v>
                </c:pt>
                <c:pt idx="129">
                  <c:v>07/21/2015</c:v>
                </c:pt>
                <c:pt idx="130">
                  <c:v>07/22/2015</c:v>
                </c:pt>
                <c:pt idx="131">
                  <c:v>07/23/2015</c:v>
                </c:pt>
                <c:pt idx="132">
                  <c:v>07/24/2015</c:v>
                </c:pt>
                <c:pt idx="133">
                  <c:v>07/27/2015</c:v>
                </c:pt>
                <c:pt idx="134">
                  <c:v>07/28/2015</c:v>
                </c:pt>
                <c:pt idx="135">
                  <c:v>07/29/2015</c:v>
                </c:pt>
                <c:pt idx="136">
                  <c:v>07/30/2015</c:v>
                </c:pt>
                <c:pt idx="137">
                  <c:v>07/31/2015</c:v>
                </c:pt>
                <c:pt idx="138">
                  <c:v>08-04-2015</c:v>
                </c:pt>
                <c:pt idx="139">
                  <c:v>08-05-2015</c:v>
                </c:pt>
                <c:pt idx="140">
                  <c:v>08-06-2015</c:v>
                </c:pt>
                <c:pt idx="141">
                  <c:v>08-07-2015</c:v>
                </c:pt>
                <c:pt idx="142">
                  <c:v>08-10-2015</c:v>
                </c:pt>
                <c:pt idx="143">
                  <c:v>08-11-2015</c:v>
                </c:pt>
                <c:pt idx="144">
                  <c:v>08-12-2015</c:v>
                </c:pt>
                <c:pt idx="145">
                  <c:v>08/13/2015</c:v>
                </c:pt>
                <c:pt idx="146">
                  <c:v>08/14/2015</c:v>
                </c:pt>
                <c:pt idx="147">
                  <c:v>08/17/2015</c:v>
                </c:pt>
                <c:pt idx="148">
                  <c:v>08/18/2015</c:v>
                </c:pt>
                <c:pt idx="149">
                  <c:v>08/19/2015</c:v>
                </c:pt>
                <c:pt idx="150">
                  <c:v>08/20/2015</c:v>
                </c:pt>
                <c:pt idx="151">
                  <c:v>08/21/2015</c:v>
                </c:pt>
                <c:pt idx="152">
                  <c:v>08/24/2015</c:v>
                </c:pt>
                <c:pt idx="153">
                  <c:v>08/25/2015</c:v>
                </c:pt>
                <c:pt idx="154">
                  <c:v>08/26/2015</c:v>
                </c:pt>
                <c:pt idx="155">
                  <c:v>08/27/2015</c:v>
                </c:pt>
                <c:pt idx="156">
                  <c:v>08/28/2015</c:v>
                </c:pt>
                <c:pt idx="157">
                  <c:v>08/31/2015</c:v>
                </c:pt>
                <c:pt idx="158">
                  <c:v>09-01-2015</c:v>
                </c:pt>
                <c:pt idx="159">
                  <c:v>09-02-2015</c:v>
                </c:pt>
                <c:pt idx="160">
                  <c:v>09-03-2015</c:v>
                </c:pt>
                <c:pt idx="161">
                  <c:v>09-04-2015</c:v>
                </c:pt>
                <c:pt idx="162">
                  <c:v>09-08-2015</c:v>
                </c:pt>
                <c:pt idx="163">
                  <c:v>09-09-2015</c:v>
                </c:pt>
                <c:pt idx="164">
                  <c:v>09-10-2015</c:v>
                </c:pt>
                <c:pt idx="165">
                  <c:v>09-11-2015</c:v>
                </c:pt>
                <c:pt idx="166">
                  <c:v>09/14/2015</c:v>
                </c:pt>
                <c:pt idx="167">
                  <c:v>09/15/2015</c:v>
                </c:pt>
                <c:pt idx="168">
                  <c:v>09/16/2015</c:v>
                </c:pt>
                <c:pt idx="169">
                  <c:v>09/17/2015</c:v>
                </c:pt>
                <c:pt idx="170">
                  <c:v>09/18/2015</c:v>
                </c:pt>
                <c:pt idx="171">
                  <c:v>09/21/2015</c:v>
                </c:pt>
                <c:pt idx="172">
                  <c:v>09/22/2015</c:v>
                </c:pt>
                <c:pt idx="173">
                  <c:v>09/23/2015</c:v>
                </c:pt>
                <c:pt idx="174">
                  <c:v>09/24/2015</c:v>
                </c:pt>
                <c:pt idx="175">
                  <c:v>09/25/2015</c:v>
                </c:pt>
                <c:pt idx="176">
                  <c:v>09/28/2015</c:v>
                </c:pt>
                <c:pt idx="177">
                  <c:v>09/29/2015</c:v>
                </c:pt>
                <c:pt idx="178">
                  <c:v>09/30/2015</c:v>
                </c:pt>
                <c:pt idx="179">
                  <c:v>10-01-2015</c:v>
                </c:pt>
                <c:pt idx="180">
                  <c:v>10-02-2015</c:v>
                </c:pt>
                <c:pt idx="181">
                  <c:v>10-05-2015</c:v>
                </c:pt>
                <c:pt idx="182">
                  <c:v>10-06-2015</c:v>
                </c:pt>
                <c:pt idx="183">
                  <c:v>10-07-2015</c:v>
                </c:pt>
                <c:pt idx="184">
                  <c:v>10-08-2015</c:v>
                </c:pt>
                <c:pt idx="185">
                  <c:v>10-09-2015</c:v>
                </c:pt>
                <c:pt idx="186">
                  <c:v>10/13/2015</c:v>
                </c:pt>
                <c:pt idx="187">
                  <c:v>10/14/2015</c:v>
                </c:pt>
                <c:pt idx="188">
                  <c:v>10/15/2015</c:v>
                </c:pt>
                <c:pt idx="189">
                  <c:v>10/16/2015</c:v>
                </c:pt>
                <c:pt idx="190">
                  <c:v>10/19/2015</c:v>
                </c:pt>
                <c:pt idx="191">
                  <c:v>10/20/2015</c:v>
                </c:pt>
                <c:pt idx="192">
                  <c:v>10/21/2015</c:v>
                </c:pt>
                <c:pt idx="193">
                  <c:v>10/22/2015</c:v>
                </c:pt>
                <c:pt idx="194">
                  <c:v>10/23/2015</c:v>
                </c:pt>
                <c:pt idx="195">
                  <c:v>10/26/2015</c:v>
                </c:pt>
                <c:pt idx="196">
                  <c:v>10/27/2015</c:v>
                </c:pt>
                <c:pt idx="197">
                  <c:v>10/28/2015</c:v>
                </c:pt>
                <c:pt idx="198">
                  <c:v>10/29/2015</c:v>
                </c:pt>
                <c:pt idx="199">
                  <c:v>10/30/2015</c:v>
                </c:pt>
                <c:pt idx="200">
                  <c:v>11-02-2015</c:v>
                </c:pt>
                <c:pt idx="201">
                  <c:v>11-03-2015</c:v>
                </c:pt>
                <c:pt idx="202">
                  <c:v>11-04-2015</c:v>
                </c:pt>
                <c:pt idx="203">
                  <c:v>11-05-2015</c:v>
                </c:pt>
                <c:pt idx="204">
                  <c:v>11-06-2015</c:v>
                </c:pt>
                <c:pt idx="205">
                  <c:v>11-09-2015</c:v>
                </c:pt>
                <c:pt idx="206">
                  <c:v>11-10-2015</c:v>
                </c:pt>
                <c:pt idx="207">
                  <c:v>11-11-2015</c:v>
                </c:pt>
                <c:pt idx="208">
                  <c:v>11-12-2015</c:v>
                </c:pt>
                <c:pt idx="209">
                  <c:v>11/13/2015</c:v>
                </c:pt>
                <c:pt idx="210">
                  <c:v>11/16/2015</c:v>
                </c:pt>
                <c:pt idx="211">
                  <c:v>11/17/2015</c:v>
                </c:pt>
                <c:pt idx="212">
                  <c:v>11/18/2015</c:v>
                </c:pt>
                <c:pt idx="213">
                  <c:v>11/19/2015</c:v>
                </c:pt>
                <c:pt idx="214">
                  <c:v>11/20/2015</c:v>
                </c:pt>
                <c:pt idx="215">
                  <c:v>11/23/2015</c:v>
                </c:pt>
                <c:pt idx="216">
                  <c:v>11/24/2015</c:v>
                </c:pt>
                <c:pt idx="217">
                  <c:v>11/25/2015</c:v>
                </c:pt>
                <c:pt idx="218">
                  <c:v>11/26/2015</c:v>
                </c:pt>
                <c:pt idx="219">
                  <c:v>11/27/2015</c:v>
                </c:pt>
                <c:pt idx="220">
                  <c:v>11/30/2015</c:v>
                </c:pt>
                <c:pt idx="221">
                  <c:v>12-01-2015</c:v>
                </c:pt>
                <c:pt idx="222">
                  <c:v>12-02-2015</c:v>
                </c:pt>
                <c:pt idx="223">
                  <c:v>12-03-2015</c:v>
                </c:pt>
                <c:pt idx="224">
                  <c:v>12-04-2015</c:v>
                </c:pt>
                <c:pt idx="225">
                  <c:v>12-07-2015</c:v>
                </c:pt>
                <c:pt idx="226">
                  <c:v>12-08-2015</c:v>
                </c:pt>
                <c:pt idx="227">
                  <c:v>12-09-2015</c:v>
                </c:pt>
                <c:pt idx="228">
                  <c:v>12-10-2015</c:v>
                </c:pt>
                <c:pt idx="229">
                  <c:v>12-11-2015</c:v>
                </c:pt>
                <c:pt idx="230">
                  <c:v>12/14/2015</c:v>
                </c:pt>
                <c:pt idx="231">
                  <c:v>12/15/2015</c:v>
                </c:pt>
                <c:pt idx="232">
                  <c:v>12/16/2015</c:v>
                </c:pt>
                <c:pt idx="233">
                  <c:v>12/17/2015</c:v>
                </c:pt>
                <c:pt idx="234">
                  <c:v>12/18/2015</c:v>
                </c:pt>
                <c:pt idx="235">
                  <c:v>12/21/2015</c:v>
                </c:pt>
                <c:pt idx="236">
                  <c:v>12/22/2015</c:v>
                </c:pt>
                <c:pt idx="237">
                  <c:v>12/23/2015</c:v>
                </c:pt>
                <c:pt idx="238">
                  <c:v>12/24/2015</c:v>
                </c:pt>
                <c:pt idx="239">
                  <c:v>12/29/2015</c:v>
                </c:pt>
                <c:pt idx="240">
                  <c:v>12/30/2015</c:v>
                </c:pt>
                <c:pt idx="241">
                  <c:v>12/31/2015</c:v>
                </c:pt>
                <c:pt idx="242">
                  <c:v>01-04-2016</c:v>
                </c:pt>
                <c:pt idx="243">
                  <c:v>01-05-2016</c:v>
                </c:pt>
                <c:pt idx="244">
                  <c:v>01-06-2016</c:v>
                </c:pt>
                <c:pt idx="245">
                  <c:v>01-07-2016</c:v>
                </c:pt>
                <c:pt idx="246">
                  <c:v>01-08-2016</c:v>
                </c:pt>
                <c:pt idx="247">
                  <c:v>01-11-2016</c:v>
                </c:pt>
                <c:pt idx="248">
                  <c:v>01-12-2016</c:v>
                </c:pt>
                <c:pt idx="249">
                  <c:v>01/13/2016</c:v>
                </c:pt>
                <c:pt idx="250">
                  <c:v>01/14/2016</c:v>
                </c:pt>
                <c:pt idx="251">
                  <c:v>01/15/2016</c:v>
                </c:pt>
                <c:pt idx="252">
                  <c:v>01/18/2016</c:v>
                </c:pt>
                <c:pt idx="253">
                  <c:v>01/19/2016</c:v>
                </c:pt>
                <c:pt idx="254">
                  <c:v>01/20/2016</c:v>
                </c:pt>
                <c:pt idx="255">
                  <c:v>01/21/2016</c:v>
                </c:pt>
                <c:pt idx="256">
                  <c:v>01/22/2016</c:v>
                </c:pt>
                <c:pt idx="257">
                  <c:v>01/25/2016</c:v>
                </c:pt>
                <c:pt idx="258">
                  <c:v>01/26/2016</c:v>
                </c:pt>
                <c:pt idx="259">
                  <c:v>01/27/2016</c:v>
                </c:pt>
                <c:pt idx="260">
                  <c:v>01/28/2016</c:v>
                </c:pt>
                <c:pt idx="261">
                  <c:v>01/29/2016</c:v>
                </c:pt>
                <c:pt idx="262">
                  <c:v>02-01-2016</c:v>
                </c:pt>
                <c:pt idx="263">
                  <c:v>02-02-2016</c:v>
                </c:pt>
                <c:pt idx="264">
                  <c:v>02-03-2016</c:v>
                </c:pt>
                <c:pt idx="265">
                  <c:v>02-04-2016</c:v>
                </c:pt>
              </c:strCache>
            </c:strRef>
          </c:cat>
          <c:val>
            <c:numRef>
              <c:f>Sheet2!$G$1:$G$266</c:f>
              <c:numCache>
                <c:formatCode>General</c:formatCode>
                <c:ptCount val="266"/>
                <c:pt idx="0">
                  <c:v>20.49</c:v>
                </c:pt>
                <c:pt idx="1">
                  <c:v>20.68</c:v>
                </c:pt>
                <c:pt idx="2">
                  <c:v>20.51</c:v>
                </c:pt>
                <c:pt idx="3">
                  <c:v>20.66</c:v>
                </c:pt>
                <c:pt idx="4">
                  <c:v>20.62</c:v>
                </c:pt>
                <c:pt idx="5">
                  <c:v>20.71</c:v>
                </c:pt>
                <c:pt idx="6">
                  <c:v>20.77</c:v>
                </c:pt>
                <c:pt idx="7">
                  <c:v>20.68</c:v>
                </c:pt>
                <c:pt idx="8">
                  <c:v>20.45</c:v>
                </c:pt>
                <c:pt idx="9">
                  <c:v>19.88</c:v>
                </c:pt>
                <c:pt idx="10">
                  <c:v>19.91</c:v>
                </c:pt>
                <c:pt idx="11">
                  <c:v>19.98</c:v>
                </c:pt>
                <c:pt idx="12">
                  <c:v>19.899999999999999</c:v>
                </c:pt>
                <c:pt idx="13">
                  <c:v>19.75</c:v>
                </c:pt>
                <c:pt idx="14">
                  <c:v>19.32</c:v>
                </c:pt>
                <c:pt idx="15">
                  <c:v>19.13</c:v>
                </c:pt>
                <c:pt idx="16">
                  <c:v>18.850000000000001</c:v>
                </c:pt>
                <c:pt idx="17">
                  <c:v>18.29</c:v>
                </c:pt>
                <c:pt idx="18">
                  <c:v>19.04</c:v>
                </c:pt>
                <c:pt idx="19">
                  <c:v>19.3</c:v>
                </c:pt>
                <c:pt idx="20">
                  <c:v>18.98</c:v>
                </c:pt>
                <c:pt idx="21">
                  <c:v>19.18</c:v>
                </c:pt>
                <c:pt idx="22">
                  <c:v>19.600000000000001</c:v>
                </c:pt>
                <c:pt idx="23">
                  <c:v>19.260000000000002</c:v>
                </c:pt>
                <c:pt idx="24">
                  <c:v>18.91</c:v>
                </c:pt>
                <c:pt idx="25">
                  <c:v>19.399999999999999</c:v>
                </c:pt>
                <c:pt idx="26">
                  <c:v>19.45</c:v>
                </c:pt>
                <c:pt idx="27">
                  <c:v>19.45</c:v>
                </c:pt>
                <c:pt idx="28">
                  <c:v>19.59</c:v>
                </c:pt>
                <c:pt idx="29">
                  <c:v>19.559999999999999</c:v>
                </c:pt>
                <c:pt idx="30">
                  <c:v>19.850000000000001</c:v>
                </c:pt>
                <c:pt idx="31">
                  <c:v>20.14</c:v>
                </c:pt>
                <c:pt idx="32">
                  <c:v>20.05</c:v>
                </c:pt>
                <c:pt idx="33">
                  <c:v>20.25</c:v>
                </c:pt>
                <c:pt idx="34">
                  <c:v>20.22</c:v>
                </c:pt>
                <c:pt idx="35">
                  <c:v>20.010000000000002</c:v>
                </c:pt>
                <c:pt idx="36">
                  <c:v>19.82</c:v>
                </c:pt>
                <c:pt idx="37">
                  <c:v>19.3</c:v>
                </c:pt>
                <c:pt idx="38">
                  <c:v>19.16</c:v>
                </c:pt>
                <c:pt idx="39">
                  <c:v>19.07</c:v>
                </c:pt>
                <c:pt idx="40">
                  <c:v>19</c:v>
                </c:pt>
                <c:pt idx="41">
                  <c:v>19.29</c:v>
                </c:pt>
                <c:pt idx="42">
                  <c:v>19.18</c:v>
                </c:pt>
                <c:pt idx="43">
                  <c:v>19.25</c:v>
                </c:pt>
                <c:pt idx="44">
                  <c:v>19.079999999999998</c:v>
                </c:pt>
                <c:pt idx="45">
                  <c:v>19.149999999999999</c:v>
                </c:pt>
                <c:pt idx="46">
                  <c:v>19.3</c:v>
                </c:pt>
                <c:pt idx="47">
                  <c:v>19.09</c:v>
                </c:pt>
                <c:pt idx="48">
                  <c:v>18.84</c:v>
                </c:pt>
                <c:pt idx="49">
                  <c:v>18.690000000000001</c:v>
                </c:pt>
                <c:pt idx="50">
                  <c:v>18.3</c:v>
                </c:pt>
                <c:pt idx="51">
                  <c:v>18</c:v>
                </c:pt>
                <c:pt idx="52">
                  <c:v>18.07</c:v>
                </c:pt>
                <c:pt idx="53">
                  <c:v>18.18</c:v>
                </c:pt>
                <c:pt idx="54">
                  <c:v>18.03</c:v>
                </c:pt>
                <c:pt idx="55">
                  <c:v>18.3</c:v>
                </c:pt>
                <c:pt idx="56">
                  <c:v>18.52</c:v>
                </c:pt>
                <c:pt idx="57">
                  <c:v>18.78</c:v>
                </c:pt>
                <c:pt idx="58">
                  <c:v>18.7</c:v>
                </c:pt>
                <c:pt idx="59">
                  <c:v>18.829999999999998</c:v>
                </c:pt>
                <c:pt idx="60">
                  <c:v>18.12</c:v>
                </c:pt>
                <c:pt idx="61">
                  <c:v>18.489999999999998</c:v>
                </c:pt>
                <c:pt idx="62">
                  <c:v>18.2</c:v>
                </c:pt>
                <c:pt idx="63">
                  <c:v>18.34</c:v>
                </c:pt>
                <c:pt idx="64">
                  <c:v>18.2</c:v>
                </c:pt>
                <c:pt idx="65">
                  <c:v>18.149999999999999</c:v>
                </c:pt>
                <c:pt idx="66">
                  <c:v>18.41</c:v>
                </c:pt>
                <c:pt idx="67">
                  <c:v>18.100000000000001</c:v>
                </c:pt>
                <c:pt idx="68">
                  <c:v>18.22</c:v>
                </c:pt>
                <c:pt idx="69">
                  <c:v>18.3</c:v>
                </c:pt>
                <c:pt idx="70">
                  <c:v>17.96</c:v>
                </c:pt>
                <c:pt idx="71">
                  <c:v>18.05</c:v>
                </c:pt>
                <c:pt idx="72">
                  <c:v>18.03</c:v>
                </c:pt>
                <c:pt idx="73">
                  <c:v>18.239999999999998</c:v>
                </c:pt>
                <c:pt idx="74">
                  <c:v>18.079999999999998</c:v>
                </c:pt>
                <c:pt idx="75">
                  <c:v>18.07</c:v>
                </c:pt>
                <c:pt idx="76">
                  <c:v>18.04</c:v>
                </c:pt>
                <c:pt idx="77">
                  <c:v>18</c:v>
                </c:pt>
                <c:pt idx="78">
                  <c:v>18</c:v>
                </c:pt>
                <c:pt idx="79">
                  <c:v>18.59</c:v>
                </c:pt>
                <c:pt idx="80">
                  <c:v>18.93</c:v>
                </c:pt>
                <c:pt idx="81">
                  <c:v>18.940000000000001</c:v>
                </c:pt>
                <c:pt idx="82">
                  <c:v>19.34</c:v>
                </c:pt>
                <c:pt idx="83">
                  <c:v>19.61</c:v>
                </c:pt>
                <c:pt idx="84">
                  <c:v>19.52</c:v>
                </c:pt>
                <c:pt idx="85">
                  <c:v>19.36</c:v>
                </c:pt>
                <c:pt idx="86">
                  <c:v>19.25</c:v>
                </c:pt>
                <c:pt idx="87">
                  <c:v>19.28</c:v>
                </c:pt>
                <c:pt idx="88">
                  <c:v>19.25</c:v>
                </c:pt>
                <c:pt idx="89">
                  <c:v>19.45</c:v>
                </c:pt>
                <c:pt idx="90">
                  <c:v>19.399999999999999</c:v>
                </c:pt>
                <c:pt idx="91">
                  <c:v>19.5</c:v>
                </c:pt>
                <c:pt idx="92">
                  <c:v>19.5</c:v>
                </c:pt>
                <c:pt idx="93">
                  <c:v>19.5</c:v>
                </c:pt>
                <c:pt idx="94">
                  <c:v>19.75</c:v>
                </c:pt>
                <c:pt idx="95">
                  <c:v>19.64</c:v>
                </c:pt>
                <c:pt idx="96">
                  <c:v>19.600000000000001</c:v>
                </c:pt>
                <c:pt idx="97">
                  <c:v>19.32</c:v>
                </c:pt>
                <c:pt idx="98">
                  <c:v>19.39</c:v>
                </c:pt>
                <c:pt idx="99">
                  <c:v>19.2</c:v>
                </c:pt>
                <c:pt idx="100">
                  <c:v>19.32</c:v>
                </c:pt>
                <c:pt idx="101">
                  <c:v>19.579999999999998</c:v>
                </c:pt>
                <c:pt idx="102">
                  <c:v>19.72</c:v>
                </c:pt>
                <c:pt idx="103">
                  <c:v>19.71</c:v>
                </c:pt>
                <c:pt idx="104">
                  <c:v>19.75</c:v>
                </c:pt>
                <c:pt idx="105">
                  <c:v>19.86</c:v>
                </c:pt>
                <c:pt idx="106">
                  <c:v>20.03</c:v>
                </c:pt>
                <c:pt idx="107">
                  <c:v>20.05</c:v>
                </c:pt>
                <c:pt idx="108">
                  <c:v>20.190000000000001</c:v>
                </c:pt>
                <c:pt idx="109">
                  <c:v>20.149999999999999</c:v>
                </c:pt>
                <c:pt idx="110">
                  <c:v>20.059999999999999</c:v>
                </c:pt>
                <c:pt idx="111">
                  <c:v>19.940000000000001</c:v>
                </c:pt>
                <c:pt idx="112">
                  <c:v>19.940000000000001</c:v>
                </c:pt>
                <c:pt idx="113">
                  <c:v>19.88</c:v>
                </c:pt>
                <c:pt idx="114">
                  <c:v>19.72</c:v>
                </c:pt>
                <c:pt idx="115">
                  <c:v>19.7</c:v>
                </c:pt>
                <c:pt idx="116">
                  <c:v>19.95</c:v>
                </c:pt>
                <c:pt idx="117">
                  <c:v>19.88</c:v>
                </c:pt>
                <c:pt idx="118">
                  <c:v>19.55</c:v>
                </c:pt>
                <c:pt idx="119">
                  <c:v>19.375</c:v>
                </c:pt>
                <c:pt idx="120">
                  <c:v>19.2</c:v>
                </c:pt>
                <c:pt idx="121">
                  <c:v>19.190000000000001</c:v>
                </c:pt>
                <c:pt idx="122">
                  <c:v>19.010000000000002</c:v>
                </c:pt>
                <c:pt idx="123">
                  <c:v>19.309999999999999</c:v>
                </c:pt>
                <c:pt idx="124">
                  <c:v>20.21</c:v>
                </c:pt>
                <c:pt idx="125">
                  <c:v>20.21</c:v>
                </c:pt>
                <c:pt idx="126">
                  <c:v>20.75</c:v>
                </c:pt>
                <c:pt idx="127">
                  <c:v>20.54</c:v>
                </c:pt>
                <c:pt idx="128">
                  <c:v>20.36</c:v>
                </c:pt>
                <c:pt idx="129">
                  <c:v>20.48</c:v>
                </c:pt>
                <c:pt idx="130">
                  <c:v>20.7</c:v>
                </c:pt>
                <c:pt idx="131">
                  <c:v>20.41</c:v>
                </c:pt>
                <c:pt idx="132">
                  <c:v>20.05</c:v>
                </c:pt>
                <c:pt idx="133">
                  <c:v>20.059999999999999</c:v>
                </c:pt>
                <c:pt idx="134">
                  <c:v>20.07</c:v>
                </c:pt>
                <c:pt idx="135">
                  <c:v>20.149999999999999</c:v>
                </c:pt>
                <c:pt idx="136">
                  <c:v>20.309999999999999</c:v>
                </c:pt>
                <c:pt idx="137">
                  <c:v>20.72</c:v>
                </c:pt>
                <c:pt idx="138">
                  <c:v>20.85</c:v>
                </c:pt>
                <c:pt idx="139">
                  <c:v>21.02</c:v>
                </c:pt>
                <c:pt idx="140">
                  <c:v>20.7</c:v>
                </c:pt>
                <c:pt idx="141">
                  <c:v>21.15</c:v>
                </c:pt>
                <c:pt idx="142">
                  <c:v>21.25</c:v>
                </c:pt>
                <c:pt idx="143">
                  <c:v>21.06</c:v>
                </c:pt>
                <c:pt idx="144">
                  <c:v>21.22</c:v>
                </c:pt>
                <c:pt idx="145">
                  <c:v>21.07</c:v>
                </c:pt>
                <c:pt idx="146">
                  <c:v>21.73</c:v>
                </c:pt>
                <c:pt idx="147">
                  <c:v>21.95</c:v>
                </c:pt>
                <c:pt idx="148">
                  <c:v>21.7</c:v>
                </c:pt>
                <c:pt idx="149">
                  <c:v>21.83</c:v>
                </c:pt>
                <c:pt idx="150">
                  <c:v>21.31</c:v>
                </c:pt>
                <c:pt idx="151">
                  <c:v>21.16</c:v>
                </c:pt>
                <c:pt idx="152">
                  <c:v>20.41</c:v>
                </c:pt>
                <c:pt idx="153">
                  <c:v>20.65</c:v>
                </c:pt>
                <c:pt idx="154">
                  <c:v>21.14</c:v>
                </c:pt>
                <c:pt idx="155">
                  <c:v>22</c:v>
                </c:pt>
                <c:pt idx="156">
                  <c:v>22.22</c:v>
                </c:pt>
                <c:pt idx="157">
                  <c:v>22.38</c:v>
                </c:pt>
                <c:pt idx="158">
                  <c:v>22.2</c:v>
                </c:pt>
                <c:pt idx="159">
                  <c:v>22.16</c:v>
                </c:pt>
                <c:pt idx="160">
                  <c:v>22.18</c:v>
                </c:pt>
                <c:pt idx="161">
                  <c:v>22.15</c:v>
                </c:pt>
                <c:pt idx="162">
                  <c:v>22.07</c:v>
                </c:pt>
                <c:pt idx="163">
                  <c:v>22.11</c:v>
                </c:pt>
                <c:pt idx="164">
                  <c:v>22</c:v>
                </c:pt>
                <c:pt idx="165">
                  <c:v>21.92</c:v>
                </c:pt>
                <c:pt idx="166">
                  <c:v>21.7</c:v>
                </c:pt>
                <c:pt idx="167">
                  <c:v>21.61</c:v>
                </c:pt>
                <c:pt idx="168">
                  <c:v>21.62</c:v>
                </c:pt>
                <c:pt idx="169">
                  <c:v>21.69</c:v>
                </c:pt>
                <c:pt idx="170">
                  <c:v>21.88</c:v>
                </c:pt>
                <c:pt idx="171">
                  <c:v>21.99</c:v>
                </c:pt>
                <c:pt idx="172">
                  <c:v>21.97</c:v>
                </c:pt>
                <c:pt idx="173">
                  <c:v>21.97</c:v>
                </c:pt>
                <c:pt idx="174">
                  <c:v>21.9</c:v>
                </c:pt>
                <c:pt idx="175">
                  <c:v>21.87</c:v>
                </c:pt>
                <c:pt idx="176">
                  <c:v>21.74</c:v>
                </c:pt>
                <c:pt idx="177">
                  <c:v>21.47</c:v>
                </c:pt>
                <c:pt idx="178">
                  <c:v>21.5</c:v>
                </c:pt>
                <c:pt idx="179">
                  <c:v>21.87</c:v>
                </c:pt>
                <c:pt idx="180">
                  <c:v>21.8</c:v>
                </c:pt>
                <c:pt idx="181">
                  <c:v>22.07</c:v>
                </c:pt>
                <c:pt idx="182">
                  <c:v>21.9</c:v>
                </c:pt>
                <c:pt idx="183">
                  <c:v>21.73</c:v>
                </c:pt>
                <c:pt idx="184">
                  <c:v>21.76</c:v>
                </c:pt>
                <c:pt idx="185">
                  <c:v>21.9</c:v>
                </c:pt>
                <c:pt idx="186">
                  <c:v>21.96</c:v>
                </c:pt>
                <c:pt idx="187">
                  <c:v>21.17</c:v>
                </c:pt>
                <c:pt idx="188">
                  <c:v>21.05</c:v>
                </c:pt>
                <c:pt idx="189">
                  <c:v>20.97</c:v>
                </c:pt>
                <c:pt idx="190">
                  <c:v>21.13</c:v>
                </c:pt>
                <c:pt idx="191">
                  <c:v>21.01</c:v>
                </c:pt>
                <c:pt idx="192">
                  <c:v>21</c:v>
                </c:pt>
                <c:pt idx="193">
                  <c:v>21.17</c:v>
                </c:pt>
                <c:pt idx="194">
                  <c:v>20.8</c:v>
                </c:pt>
                <c:pt idx="195">
                  <c:v>20.47</c:v>
                </c:pt>
                <c:pt idx="196">
                  <c:v>20.02</c:v>
                </c:pt>
                <c:pt idx="197">
                  <c:v>20.14</c:v>
                </c:pt>
                <c:pt idx="198">
                  <c:v>19.95</c:v>
                </c:pt>
                <c:pt idx="199">
                  <c:v>20.170000000000002</c:v>
                </c:pt>
                <c:pt idx="200">
                  <c:v>20.48</c:v>
                </c:pt>
                <c:pt idx="201">
                  <c:v>21.3</c:v>
                </c:pt>
                <c:pt idx="202">
                  <c:v>21.93</c:v>
                </c:pt>
                <c:pt idx="203">
                  <c:v>21.78</c:v>
                </c:pt>
                <c:pt idx="204">
                  <c:v>21.58</c:v>
                </c:pt>
                <c:pt idx="205">
                  <c:v>21.13</c:v>
                </c:pt>
                <c:pt idx="206">
                  <c:v>21.01</c:v>
                </c:pt>
                <c:pt idx="207">
                  <c:v>21.07</c:v>
                </c:pt>
                <c:pt idx="208">
                  <c:v>20.61</c:v>
                </c:pt>
                <c:pt idx="209">
                  <c:v>20.5</c:v>
                </c:pt>
                <c:pt idx="210">
                  <c:v>20.69</c:v>
                </c:pt>
                <c:pt idx="211">
                  <c:v>20.72</c:v>
                </c:pt>
                <c:pt idx="212">
                  <c:v>20.79</c:v>
                </c:pt>
                <c:pt idx="213">
                  <c:v>21.05</c:v>
                </c:pt>
                <c:pt idx="214">
                  <c:v>21.06</c:v>
                </c:pt>
                <c:pt idx="215">
                  <c:v>21.09</c:v>
                </c:pt>
                <c:pt idx="216">
                  <c:v>20.92</c:v>
                </c:pt>
                <c:pt idx="217">
                  <c:v>20.72</c:v>
                </c:pt>
                <c:pt idx="218">
                  <c:v>21.164999999999999</c:v>
                </c:pt>
                <c:pt idx="219">
                  <c:v>21.14</c:v>
                </c:pt>
                <c:pt idx="220">
                  <c:v>21.03</c:v>
                </c:pt>
                <c:pt idx="221">
                  <c:v>20.93</c:v>
                </c:pt>
                <c:pt idx="222">
                  <c:v>20.75</c:v>
                </c:pt>
                <c:pt idx="223">
                  <c:v>21.15</c:v>
                </c:pt>
                <c:pt idx="224">
                  <c:v>21.03</c:v>
                </c:pt>
                <c:pt idx="225">
                  <c:v>21.26</c:v>
                </c:pt>
                <c:pt idx="226">
                  <c:v>21.58</c:v>
                </c:pt>
                <c:pt idx="227">
                  <c:v>21.82</c:v>
                </c:pt>
                <c:pt idx="228">
                  <c:v>22.16</c:v>
                </c:pt>
                <c:pt idx="229">
                  <c:v>23.09</c:v>
                </c:pt>
                <c:pt idx="230">
                  <c:v>23.99</c:v>
                </c:pt>
                <c:pt idx="231">
                  <c:v>23.29</c:v>
                </c:pt>
                <c:pt idx="232">
                  <c:v>23.21</c:v>
                </c:pt>
                <c:pt idx="233">
                  <c:v>23.7</c:v>
                </c:pt>
                <c:pt idx="234">
                  <c:v>24.3</c:v>
                </c:pt>
                <c:pt idx="235">
                  <c:v>24.39</c:v>
                </c:pt>
                <c:pt idx="236">
                  <c:v>24.1</c:v>
                </c:pt>
                <c:pt idx="237">
                  <c:v>23.98</c:v>
                </c:pt>
                <c:pt idx="238">
                  <c:v>24.02</c:v>
                </c:pt>
                <c:pt idx="239">
                  <c:v>24.69</c:v>
                </c:pt>
                <c:pt idx="240">
                  <c:v>25</c:v>
                </c:pt>
                <c:pt idx="241">
                  <c:v>24.95</c:v>
                </c:pt>
                <c:pt idx="242">
                  <c:v>24.45</c:v>
                </c:pt>
                <c:pt idx="243">
                  <c:v>24.27</c:v>
                </c:pt>
                <c:pt idx="244">
                  <c:v>24.1</c:v>
                </c:pt>
                <c:pt idx="245">
                  <c:v>23.6</c:v>
                </c:pt>
                <c:pt idx="246">
                  <c:v>23.05</c:v>
                </c:pt>
                <c:pt idx="247">
                  <c:v>22.95</c:v>
                </c:pt>
                <c:pt idx="248">
                  <c:v>22.73</c:v>
                </c:pt>
                <c:pt idx="249">
                  <c:v>22.8</c:v>
                </c:pt>
                <c:pt idx="250">
                  <c:v>22.36</c:v>
                </c:pt>
                <c:pt idx="251">
                  <c:v>22.13</c:v>
                </c:pt>
                <c:pt idx="252">
                  <c:v>22.15</c:v>
                </c:pt>
                <c:pt idx="253">
                  <c:v>22.64</c:v>
                </c:pt>
                <c:pt idx="254">
                  <c:v>22.13</c:v>
                </c:pt>
                <c:pt idx="255">
                  <c:v>22.19</c:v>
                </c:pt>
                <c:pt idx="256">
                  <c:v>22.07</c:v>
                </c:pt>
                <c:pt idx="257">
                  <c:v>22.34</c:v>
                </c:pt>
                <c:pt idx="258">
                  <c:v>22.78</c:v>
                </c:pt>
                <c:pt idx="259">
                  <c:v>22.6</c:v>
                </c:pt>
                <c:pt idx="260">
                  <c:v>22.38</c:v>
                </c:pt>
                <c:pt idx="261">
                  <c:v>22.39</c:v>
                </c:pt>
                <c:pt idx="262">
                  <c:v>22.8</c:v>
                </c:pt>
                <c:pt idx="263">
                  <c:v>22.78</c:v>
                </c:pt>
                <c:pt idx="264">
                  <c:v>23.34</c:v>
                </c:pt>
                <c:pt idx="265">
                  <c:v>23.22</c:v>
                </c:pt>
              </c:numCache>
            </c:numRef>
          </c:val>
          <c:smooth val="0"/>
        </c:ser>
        <c:dLbls>
          <c:showLegendKey val="0"/>
          <c:showVal val="0"/>
          <c:showCatName val="0"/>
          <c:showSerName val="0"/>
          <c:showPercent val="0"/>
          <c:showBubbleSize val="0"/>
        </c:dLbls>
        <c:smooth val="0"/>
        <c:axId val="385352328"/>
        <c:axId val="385353896"/>
      </c:lineChart>
      <c:dateAx>
        <c:axId val="38535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140000" spcFirstLastPara="1" vertOverflow="ellipsis" wrap="square" anchor="ctr" anchorCtr="1"/>
          <a:lstStyle/>
          <a:p>
            <a:pPr>
              <a:defRPr sz="700" b="0" i="0" u="none" strike="noStrike" kern="1200" baseline="0">
                <a:solidFill>
                  <a:schemeClr val="bg1"/>
                </a:solidFill>
                <a:latin typeface="+mn-lt"/>
                <a:ea typeface="+mn-ea"/>
                <a:cs typeface="+mn-cs"/>
              </a:defRPr>
            </a:pPr>
            <a:endParaRPr lang="en-US"/>
          </a:p>
        </c:txPr>
        <c:crossAx val="385353896"/>
        <c:crosses val="autoZero"/>
        <c:auto val="0"/>
        <c:lblOffset val="100"/>
        <c:baseTimeUnit val="days"/>
        <c:majorUnit val="88"/>
        <c:minorUnit val="1"/>
      </c:dateAx>
      <c:valAx>
        <c:axId val="385353896"/>
        <c:scaling>
          <c:orientation val="minMax"/>
          <c:max val="30"/>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385352328"/>
        <c:crosses val="autoZero"/>
        <c:crossBetween val="between"/>
      </c:valAx>
      <c:spPr>
        <a:noFill/>
        <a:ln>
          <a:noFill/>
        </a:ln>
        <a:effectLst/>
      </c:spPr>
    </c:plotArea>
    <c:plotVisOnly val="1"/>
    <c:dispBlanksAs val="gap"/>
    <c:showDLblsOverMax val="0"/>
  </c:chart>
  <c:spPr>
    <a:solidFill>
      <a:srgbClr val="0070C0"/>
    </a:solidFill>
    <a:ln w="9525" cap="flat" cmpd="sng" algn="ctr">
      <a:noFill/>
      <a:round/>
    </a:ln>
    <a:effectLst/>
  </c:spPr>
  <c:txPr>
    <a:bodyPr/>
    <a:lstStyle/>
    <a:p>
      <a:pPr>
        <a:defRPr>
          <a:solidFill>
            <a:schemeClr val="bg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CA" sz="1100" b="1">
                <a:latin typeface="Arial" panose="020B0604020202020204" pitchFamily="34" charset="0"/>
                <a:cs typeface="Arial" panose="020B0604020202020204" pitchFamily="34" charset="0"/>
              </a:rPr>
              <a:t>YOY R</a:t>
            </a:r>
            <a:r>
              <a:rPr lang="en-US" altLang="zh-CN" sz="1100" b="1">
                <a:latin typeface="Arial" panose="020B0604020202020204" pitchFamily="34" charset="0"/>
                <a:cs typeface="Arial" panose="020B0604020202020204" pitchFamily="34" charset="0"/>
              </a:rPr>
              <a:t>evenue Growth</a:t>
            </a:r>
            <a:endParaRPr lang="en-CA" sz="1100" b="1">
              <a:latin typeface="Arial" panose="020B0604020202020204" pitchFamily="34" charset="0"/>
              <a:cs typeface="Arial" panose="020B0604020202020204" pitchFamily="34" charset="0"/>
            </a:endParaRPr>
          </a:p>
        </c:rich>
      </c:tx>
      <c:layout>
        <c:manualLayout>
          <c:xMode val="edge"/>
          <c:yMode val="edge"/>
          <c:x val="9.8365946830903564E-2"/>
          <c:y val="3.4042553191489362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'Income Statement'!$D$4:$L$4</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'Income Statement'!$D$7:$L$7</c:f>
              <c:numCache>
                <c:formatCode>0.0%</c:formatCode>
                <c:ptCount val="9"/>
                <c:pt idx="0">
                  <c:v>9.4482027346770567E-2</c:v>
                </c:pt>
                <c:pt idx="1">
                  <c:v>1.8648570896722061E-2</c:v>
                </c:pt>
                <c:pt idx="2">
                  <c:v>5.7052080737602769E-2</c:v>
                </c:pt>
                <c:pt idx="3">
                  <c:v>3.039875528943066E-2</c:v>
                </c:pt>
                <c:pt idx="4">
                  <c:v>8.6732709510627018E-2</c:v>
                </c:pt>
                <c:pt idx="5">
                  <c:v>3.6140350877193021E-2</c:v>
                </c:pt>
                <c:pt idx="6">
                  <c:v>2.7429732475448578E-2</c:v>
                </c:pt>
                <c:pt idx="7">
                  <c:v>2.3401450230718601E-2</c:v>
                </c:pt>
                <c:pt idx="8">
                  <c:v>2.0611916264090105E-2</c:v>
                </c:pt>
              </c:numCache>
            </c:numRef>
          </c:val>
          <c:smooth val="0"/>
        </c:ser>
        <c:dLbls>
          <c:showLegendKey val="0"/>
          <c:showVal val="0"/>
          <c:showCatName val="0"/>
          <c:showSerName val="0"/>
          <c:showPercent val="0"/>
          <c:showBubbleSize val="0"/>
        </c:dLbls>
        <c:smooth val="0"/>
        <c:axId val="476982728"/>
        <c:axId val="476980768"/>
      </c:lineChart>
      <c:catAx>
        <c:axId val="47698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76980768"/>
        <c:crosses val="autoZero"/>
        <c:auto val="1"/>
        <c:lblAlgn val="ctr"/>
        <c:lblOffset val="100"/>
        <c:noMultiLvlLbl val="0"/>
      </c:catAx>
      <c:valAx>
        <c:axId val="4769807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76982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sz="1100" b="1">
                <a:latin typeface="Arial" panose="020B0604020202020204" pitchFamily="34" charset="0"/>
                <a:cs typeface="Arial" panose="020B0604020202020204" pitchFamily="34" charset="0"/>
              </a:rPr>
              <a:t>Revenue per</a:t>
            </a:r>
            <a:r>
              <a:rPr lang="en-CA" sz="1100" b="1" baseline="0">
                <a:latin typeface="Arial" panose="020B0604020202020204" pitchFamily="34" charset="0"/>
                <a:cs typeface="Arial" panose="020B0604020202020204" pitchFamily="34" charset="0"/>
              </a:rPr>
              <a:t> Visitor</a:t>
            </a:r>
            <a:endParaRPr lang="en-CA" sz="11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[WB.v5.xlsx]Sheet1!$A$7</c:f>
              <c:strCache>
                <c:ptCount val="1"/>
                <c:pt idx="0">
                  <c:v>Total Revenue</c:v>
                </c:pt>
              </c:strCache>
            </c:strRef>
          </c:tx>
          <c:spPr>
            <a:solidFill>
              <a:schemeClr val="accent5">
                <a:shade val="76000"/>
              </a:schemeClr>
            </a:solidFill>
            <a:ln>
              <a:noFill/>
            </a:ln>
            <a:effectLst/>
          </c:spPr>
          <c:invertIfNegative val="0"/>
          <c:cat>
            <c:strRef>
              <c:f>[WB.v5.xlsx]Sheet1!$B$1:$I$1</c:f>
              <c:strCache>
                <c:ptCount val="8"/>
                <c:pt idx="0">
                  <c:v>2013</c:v>
                </c:pt>
                <c:pt idx="1">
                  <c:v>2014</c:v>
                </c:pt>
                <c:pt idx="2">
                  <c:v>2015</c:v>
                </c:pt>
                <c:pt idx="3">
                  <c:v>2016E</c:v>
                </c:pt>
                <c:pt idx="4">
                  <c:v>2017E</c:v>
                </c:pt>
                <c:pt idx="5">
                  <c:v>2018E</c:v>
                </c:pt>
                <c:pt idx="6">
                  <c:v>2019E</c:v>
                </c:pt>
                <c:pt idx="7">
                  <c:v>2020E</c:v>
                </c:pt>
              </c:strCache>
            </c:strRef>
          </c:cat>
          <c:val>
            <c:numRef>
              <c:f>[WB.v5.xlsx]Sheet1!$B$7:$I$7</c:f>
              <c:numCache>
                <c:formatCode>General</c:formatCode>
                <c:ptCount val="8"/>
                <c:pt idx="0">
                  <c:v>240.78</c:v>
                </c:pt>
                <c:pt idx="1">
                  <c:v>254.517</c:v>
                </c:pt>
                <c:pt idx="2">
                  <c:v>262.25400000000002</c:v>
                </c:pt>
                <c:pt idx="3">
                  <c:v>285</c:v>
                </c:pt>
                <c:pt idx="4">
                  <c:v>295.3</c:v>
                </c:pt>
                <c:pt idx="5">
                  <c:v>303.39999999999998</c:v>
                </c:pt>
                <c:pt idx="6">
                  <c:v>310.5</c:v>
                </c:pt>
                <c:pt idx="7">
                  <c:v>316.89999999999998</c:v>
                </c:pt>
              </c:numCache>
            </c:numRef>
          </c:val>
        </c:ser>
        <c:dLbls>
          <c:showLegendKey val="0"/>
          <c:showVal val="0"/>
          <c:showCatName val="0"/>
          <c:showSerName val="0"/>
          <c:showPercent val="0"/>
          <c:showBubbleSize val="0"/>
        </c:dLbls>
        <c:gapWidth val="219"/>
        <c:overlap val="-27"/>
        <c:axId val="476979592"/>
        <c:axId val="500706976"/>
      </c:barChart>
      <c:lineChart>
        <c:grouping val="standard"/>
        <c:varyColors val="0"/>
        <c:ser>
          <c:idx val="1"/>
          <c:order val="1"/>
          <c:tx>
            <c:strRef>
              <c:f>[WB.v5.xlsx]Sheet1!$A$8</c:f>
              <c:strCache>
                <c:ptCount val="1"/>
                <c:pt idx="0">
                  <c:v>% Increase</c:v>
                </c:pt>
              </c:strCache>
            </c:strRef>
          </c:tx>
          <c:spPr>
            <a:ln w="28575" cap="rnd">
              <a:solidFill>
                <a:schemeClr val="accent5">
                  <a:tint val="77000"/>
                </a:schemeClr>
              </a:solidFill>
              <a:round/>
            </a:ln>
            <a:effectLst/>
          </c:spPr>
          <c:marker>
            <c:symbol val="none"/>
          </c:marker>
          <c:cat>
            <c:strRef>
              <c:f>[WB.v5.xlsx]Sheet1!$B$1:$I$1</c:f>
              <c:strCache>
                <c:ptCount val="8"/>
                <c:pt idx="0">
                  <c:v>2013</c:v>
                </c:pt>
                <c:pt idx="1">
                  <c:v>2014</c:v>
                </c:pt>
                <c:pt idx="2">
                  <c:v>2015</c:v>
                </c:pt>
                <c:pt idx="3">
                  <c:v>2016E</c:v>
                </c:pt>
                <c:pt idx="4">
                  <c:v>2017E</c:v>
                </c:pt>
                <c:pt idx="5">
                  <c:v>2018E</c:v>
                </c:pt>
                <c:pt idx="6">
                  <c:v>2019E</c:v>
                </c:pt>
                <c:pt idx="7">
                  <c:v>2020E</c:v>
                </c:pt>
              </c:strCache>
            </c:strRef>
          </c:cat>
          <c:val>
            <c:numRef>
              <c:f>[WB.v5.xlsx]Sheet1!$B$8:$I$8</c:f>
              <c:numCache>
                <c:formatCode>0.0%</c:formatCode>
                <c:ptCount val="8"/>
                <c:pt idx="0">
                  <c:v>1.8648570896722061E-2</c:v>
                </c:pt>
                <c:pt idx="1">
                  <c:v>5.7052080737602769E-2</c:v>
                </c:pt>
                <c:pt idx="2">
                  <c:v>3.039875528943066E-2</c:v>
                </c:pt>
                <c:pt idx="3">
                  <c:v>8.6732709510627018E-2</c:v>
                </c:pt>
                <c:pt idx="4">
                  <c:v>3.6140350877193021E-2</c:v>
                </c:pt>
                <c:pt idx="5">
                  <c:v>2.7429732475448578E-2</c:v>
                </c:pt>
                <c:pt idx="6">
                  <c:v>2.3401450230718601E-2</c:v>
                </c:pt>
                <c:pt idx="7">
                  <c:v>2.0611916264090105E-2</c:v>
                </c:pt>
              </c:numCache>
            </c:numRef>
          </c:val>
          <c:smooth val="0"/>
        </c:ser>
        <c:dLbls>
          <c:showLegendKey val="0"/>
          <c:showVal val="0"/>
          <c:showCatName val="0"/>
          <c:showSerName val="0"/>
          <c:showPercent val="0"/>
          <c:showBubbleSize val="0"/>
        </c:dLbls>
        <c:marker val="1"/>
        <c:smooth val="0"/>
        <c:axId val="500705016"/>
        <c:axId val="500705800"/>
      </c:lineChart>
      <c:catAx>
        <c:axId val="47697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706976"/>
        <c:crosses val="autoZero"/>
        <c:auto val="1"/>
        <c:lblAlgn val="ctr"/>
        <c:lblOffset val="100"/>
        <c:noMultiLvlLbl val="0"/>
      </c:catAx>
      <c:valAx>
        <c:axId val="50070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979592"/>
        <c:crosses val="autoZero"/>
        <c:crossBetween val="between"/>
      </c:valAx>
      <c:valAx>
        <c:axId val="50070580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705016"/>
        <c:crosses val="max"/>
        <c:crossBetween val="between"/>
      </c:valAx>
      <c:catAx>
        <c:axId val="500705016"/>
        <c:scaling>
          <c:orientation val="minMax"/>
        </c:scaling>
        <c:delete val="1"/>
        <c:axPos val="b"/>
        <c:numFmt formatCode="General" sourceLinked="1"/>
        <c:majorTickMark val="none"/>
        <c:minorTickMark val="none"/>
        <c:tickLblPos val="nextTo"/>
        <c:crossAx val="5007058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CA" sz="1100" b="1">
                <a:latin typeface="Arial" panose="020B0604020202020204" pitchFamily="34" charset="0"/>
                <a:cs typeface="Arial" panose="020B0604020202020204" pitchFamily="34" charset="0"/>
              </a:rPr>
              <a:t>Total</a:t>
            </a:r>
            <a:r>
              <a:rPr lang="en-CA" sz="1100" b="1" baseline="0">
                <a:latin typeface="Arial" panose="020B0604020202020204" pitchFamily="34" charset="0"/>
                <a:cs typeface="Arial" panose="020B0604020202020204" pitchFamily="34" charset="0"/>
              </a:rPr>
              <a:t> Visitors</a:t>
            </a:r>
            <a:endParaRPr lang="en-CA" sz="11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[WB.v5.xlsx]Sheet1!$A$2</c:f>
              <c:strCache>
                <c:ptCount val="1"/>
                <c:pt idx="0">
                  <c:v>Total Visits</c:v>
                </c:pt>
              </c:strCache>
            </c:strRef>
          </c:tx>
          <c:spPr>
            <a:solidFill>
              <a:schemeClr val="accent5">
                <a:shade val="76000"/>
              </a:schemeClr>
            </a:solidFill>
            <a:ln>
              <a:noFill/>
            </a:ln>
            <a:effectLst/>
          </c:spPr>
          <c:invertIfNegative val="0"/>
          <c:cat>
            <c:strRef>
              <c:f>[WB.v5.xlsx]Sheet1!$B$1:$I$1</c:f>
              <c:strCache>
                <c:ptCount val="8"/>
                <c:pt idx="0">
                  <c:v>2013</c:v>
                </c:pt>
                <c:pt idx="1">
                  <c:v>2014</c:v>
                </c:pt>
                <c:pt idx="2">
                  <c:v>2015</c:v>
                </c:pt>
                <c:pt idx="3">
                  <c:v>2016E</c:v>
                </c:pt>
                <c:pt idx="4">
                  <c:v>2017E</c:v>
                </c:pt>
                <c:pt idx="5">
                  <c:v>2018E</c:v>
                </c:pt>
                <c:pt idx="6">
                  <c:v>2019E</c:v>
                </c:pt>
                <c:pt idx="7">
                  <c:v>2020E</c:v>
                </c:pt>
              </c:strCache>
            </c:strRef>
          </c:cat>
          <c:val>
            <c:numRef>
              <c:f>[WB.v5.xlsx]Sheet1!$B$2:$I$2</c:f>
              <c:numCache>
                <c:formatCode>General</c:formatCode>
                <c:ptCount val="8"/>
                <c:pt idx="0">
                  <c:v>2576</c:v>
                </c:pt>
                <c:pt idx="1">
                  <c:v>2520</c:v>
                </c:pt>
                <c:pt idx="2">
                  <c:v>2380</c:v>
                </c:pt>
                <c:pt idx="3">
                  <c:v>2410</c:v>
                </c:pt>
                <c:pt idx="4">
                  <c:v>2420</c:v>
                </c:pt>
                <c:pt idx="5">
                  <c:v>2400</c:v>
                </c:pt>
                <c:pt idx="6">
                  <c:v>2350</c:v>
                </c:pt>
                <c:pt idx="7">
                  <c:v>2300</c:v>
                </c:pt>
              </c:numCache>
            </c:numRef>
          </c:val>
        </c:ser>
        <c:dLbls>
          <c:showLegendKey val="0"/>
          <c:showVal val="0"/>
          <c:showCatName val="0"/>
          <c:showSerName val="0"/>
          <c:showPercent val="0"/>
          <c:showBubbleSize val="0"/>
        </c:dLbls>
        <c:gapWidth val="219"/>
        <c:overlap val="-27"/>
        <c:axId val="500706192"/>
        <c:axId val="500703840"/>
      </c:barChart>
      <c:lineChart>
        <c:grouping val="standard"/>
        <c:varyColors val="0"/>
        <c:ser>
          <c:idx val="1"/>
          <c:order val="1"/>
          <c:tx>
            <c:strRef>
              <c:f>[WB.v5.xlsx]Sheet1!$A$3</c:f>
              <c:strCache>
                <c:ptCount val="1"/>
                <c:pt idx="0">
                  <c:v>% Increase</c:v>
                </c:pt>
              </c:strCache>
            </c:strRef>
          </c:tx>
          <c:spPr>
            <a:ln w="28575" cap="rnd">
              <a:solidFill>
                <a:schemeClr val="accent5">
                  <a:tint val="77000"/>
                </a:schemeClr>
              </a:solidFill>
              <a:round/>
            </a:ln>
            <a:effectLst/>
          </c:spPr>
          <c:marker>
            <c:symbol val="none"/>
          </c:marker>
          <c:cat>
            <c:strRef>
              <c:f>[WB.v5.xlsx]Sheet1!$B$1:$I$1</c:f>
              <c:strCache>
                <c:ptCount val="8"/>
                <c:pt idx="0">
                  <c:v>2013</c:v>
                </c:pt>
                <c:pt idx="1">
                  <c:v>2014</c:v>
                </c:pt>
                <c:pt idx="2">
                  <c:v>2015</c:v>
                </c:pt>
                <c:pt idx="3">
                  <c:v>2016E</c:v>
                </c:pt>
                <c:pt idx="4">
                  <c:v>2017E</c:v>
                </c:pt>
                <c:pt idx="5">
                  <c:v>2018E</c:v>
                </c:pt>
                <c:pt idx="6">
                  <c:v>2019E</c:v>
                </c:pt>
                <c:pt idx="7">
                  <c:v>2020E</c:v>
                </c:pt>
              </c:strCache>
            </c:strRef>
          </c:cat>
          <c:val>
            <c:numRef>
              <c:f>[WB.v5.xlsx]Sheet1!$B$3:$I$3</c:f>
              <c:numCache>
                <c:formatCode>0.0%</c:formatCode>
                <c:ptCount val="8"/>
                <c:pt idx="0">
                  <c:v>-2.6822818284850773E-2</c:v>
                </c:pt>
                <c:pt idx="1">
                  <c:v>-2.2222222222222223E-2</c:v>
                </c:pt>
                <c:pt idx="2">
                  <c:v>-5.8823529411764705E-2</c:v>
                </c:pt>
                <c:pt idx="3">
                  <c:v>1.2448132780082987E-2</c:v>
                </c:pt>
                <c:pt idx="4">
                  <c:v>4.1322314049586778E-3</c:v>
                </c:pt>
                <c:pt idx="5">
                  <c:v>-8.3333333333333332E-3</c:v>
                </c:pt>
                <c:pt idx="6">
                  <c:v>-2.1276595744680851E-2</c:v>
                </c:pt>
                <c:pt idx="7">
                  <c:v>-2.1739130434782608E-2</c:v>
                </c:pt>
              </c:numCache>
            </c:numRef>
          </c:val>
          <c:smooth val="0"/>
        </c:ser>
        <c:dLbls>
          <c:showLegendKey val="0"/>
          <c:showVal val="0"/>
          <c:showCatName val="0"/>
          <c:showSerName val="0"/>
          <c:showPercent val="0"/>
          <c:showBubbleSize val="0"/>
        </c:dLbls>
        <c:marker val="1"/>
        <c:smooth val="0"/>
        <c:axId val="500704232"/>
        <c:axId val="500706584"/>
      </c:lineChart>
      <c:catAx>
        <c:axId val="50070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703840"/>
        <c:crosses val="autoZero"/>
        <c:auto val="1"/>
        <c:lblAlgn val="ctr"/>
        <c:lblOffset val="100"/>
        <c:noMultiLvlLbl val="0"/>
      </c:catAx>
      <c:valAx>
        <c:axId val="500703840"/>
        <c:scaling>
          <c:orientation val="minMax"/>
          <c:min val="1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706192"/>
        <c:crosses val="autoZero"/>
        <c:crossBetween val="between"/>
      </c:valAx>
      <c:valAx>
        <c:axId val="500706584"/>
        <c:scaling>
          <c:orientation val="minMax"/>
        </c:scaling>
        <c:delete val="0"/>
        <c:axPos val="r"/>
        <c:numFmt formatCode="0.0%"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704232"/>
        <c:crosses val="max"/>
        <c:crossBetween val="between"/>
      </c:valAx>
      <c:catAx>
        <c:axId val="500704232"/>
        <c:scaling>
          <c:orientation val="minMax"/>
        </c:scaling>
        <c:delete val="1"/>
        <c:axPos val="b"/>
        <c:numFmt formatCode="General" sourceLinked="1"/>
        <c:majorTickMark val="none"/>
        <c:minorTickMark val="none"/>
        <c:tickLblPos val="nextTo"/>
        <c:crossAx val="5007065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50" b="1">
                <a:latin typeface="Arial" panose="020B0604020202020204" pitchFamily="34" charset="0"/>
                <a:cs typeface="Arial" panose="020B0604020202020204" pitchFamily="34" charset="0"/>
              </a:rPr>
              <a:t>Comparative Share Price CAGR</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Sheet1!$B$35</c:f>
              <c:strCache>
                <c:ptCount val="1"/>
                <c:pt idx="0">
                  <c:v>WB.CN</c:v>
                </c:pt>
              </c:strCache>
            </c:strRef>
          </c:tx>
          <c:spPr>
            <a:solidFill>
              <a:schemeClr val="accent1"/>
            </a:solidFill>
            <a:ln>
              <a:noFill/>
            </a:ln>
            <a:effectLst/>
          </c:spPr>
          <c:invertIfNegative val="0"/>
          <c:cat>
            <c:numRef>
              <c:f>Sheet1!$A$36:$A$37</c:f>
              <c:numCache>
                <c:formatCode>m/d/yyyy</c:formatCode>
                <c:ptCount val="2"/>
                <c:pt idx="0">
                  <c:v>40578</c:v>
                </c:pt>
                <c:pt idx="1">
                  <c:v>42404</c:v>
                </c:pt>
              </c:numCache>
            </c:numRef>
          </c:cat>
          <c:val>
            <c:numRef>
              <c:f>Sheet1!$B$36:$B$37</c:f>
              <c:numCache>
                <c:formatCode>General</c:formatCode>
                <c:ptCount val="2"/>
                <c:pt idx="0">
                  <c:v>12.4</c:v>
                </c:pt>
                <c:pt idx="1">
                  <c:v>23.22</c:v>
                </c:pt>
              </c:numCache>
            </c:numRef>
          </c:val>
        </c:ser>
        <c:ser>
          <c:idx val="1"/>
          <c:order val="1"/>
          <c:tx>
            <c:strRef>
              <c:f>Sheet1!$C$35</c:f>
              <c:strCache>
                <c:ptCount val="1"/>
                <c:pt idx="0">
                  <c:v>MTN.US</c:v>
                </c:pt>
              </c:strCache>
            </c:strRef>
          </c:tx>
          <c:spPr>
            <a:solidFill>
              <a:schemeClr val="accent2"/>
            </a:solidFill>
            <a:ln>
              <a:noFill/>
            </a:ln>
            <a:effectLst/>
          </c:spPr>
          <c:invertIfNegative val="0"/>
          <c:cat>
            <c:numRef>
              <c:f>Sheet1!$A$36:$A$37</c:f>
              <c:numCache>
                <c:formatCode>m/d/yyyy</c:formatCode>
                <c:ptCount val="2"/>
                <c:pt idx="0">
                  <c:v>40578</c:v>
                </c:pt>
                <c:pt idx="1">
                  <c:v>42404</c:v>
                </c:pt>
              </c:numCache>
            </c:numRef>
          </c:cat>
          <c:val>
            <c:numRef>
              <c:f>Sheet1!$C$36:$C$37</c:f>
              <c:numCache>
                <c:formatCode>General</c:formatCode>
                <c:ptCount val="2"/>
                <c:pt idx="0">
                  <c:v>49.01</c:v>
                </c:pt>
                <c:pt idx="1">
                  <c:v>119.85</c:v>
                </c:pt>
              </c:numCache>
            </c:numRef>
          </c:val>
        </c:ser>
        <c:dLbls>
          <c:showLegendKey val="0"/>
          <c:showVal val="0"/>
          <c:showCatName val="0"/>
          <c:showSerName val="0"/>
          <c:showPercent val="0"/>
          <c:showBubbleSize val="0"/>
        </c:dLbls>
        <c:gapWidth val="219"/>
        <c:overlap val="-27"/>
        <c:axId val="506532616"/>
        <c:axId val="506531832"/>
      </c:barChart>
      <c:dateAx>
        <c:axId val="50653261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531832"/>
        <c:crosses val="autoZero"/>
        <c:auto val="1"/>
        <c:lblOffset val="100"/>
        <c:baseTimeUnit val="years"/>
        <c:majorUnit val="5"/>
        <c:majorTimeUnit val="years"/>
      </c:dateAx>
      <c:valAx>
        <c:axId val="506531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532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70" baseline="0">
                <a:solidFill>
                  <a:schemeClr val="tx1"/>
                </a:solidFill>
                <a:latin typeface="+mn-lt"/>
                <a:ea typeface="+mn-ea"/>
                <a:cs typeface="+mn-cs"/>
              </a:defRPr>
            </a:pPr>
            <a:r>
              <a:rPr lang="en-US" b="1">
                <a:solidFill>
                  <a:schemeClr val="tx1"/>
                </a:solidFill>
              </a:rPr>
              <a:t>CAD-USD Forecast</a:t>
            </a:r>
          </a:p>
        </c:rich>
      </c:tx>
      <c:overlay val="0"/>
      <c:spPr>
        <a:noFill/>
        <a:ln>
          <a:noFill/>
        </a:ln>
        <a:effectLst/>
      </c:spPr>
    </c:title>
    <c:autoTitleDeleted val="0"/>
    <c:plotArea>
      <c:layout/>
      <c:scatterChart>
        <c:scatterStyle val="smoothMarker"/>
        <c:varyColors val="0"/>
        <c:ser>
          <c:idx val="0"/>
          <c:order val="0"/>
          <c:tx>
            <c:strRef>
              <c:f>Sheet1!$B$14</c:f>
              <c:strCache>
                <c:ptCount val="1"/>
                <c:pt idx="0">
                  <c:v>Actual Historical</c:v>
                </c:pt>
              </c:strCache>
            </c:strRef>
          </c:tx>
          <c:spPr>
            <a:ln w="28575">
              <a:solidFill>
                <a:schemeClr val="accent1">
                  <a:alpha val="20000"/>
                </a:schemeClr>
              </a:solidFill>
            </a:ln>
            <a:effectLst/>
          </c:spPr>
          <c:marker>
            <c:symbol val="circle"/>
            <c:size val="4"/>
            <c:spPr>
              <a:solidFill>
                <a:schemeClr val="accent1"/>
              </a:solidFill>
              <a:ln w="9525" cap="flat" cmpd="sng" algn="ctr">
                <a:solidFill>
                  <a:schemeClr val="accent1"/>
                </a:solidFill>
                <a:round/>
              </a:ln>
              <a:effectLst/>
            </c:spPr>
          </c:marker>
          <c:xVal>
            <c:numRef>
              <c:f>Sheet1!$C$13:$J$13</c:f>
              <c:numCache>
                <c:formatCode>General</c:formatCode>
                <c:ptCount val="8"/>
                <c:pt idx="0">
                  <c:v>2013</c:v>
                </c:pt>
                <c:pt idx="1">
                  <c:v>2014</c:v>
                </c:pt>
                <c:pt idx="2">
                  <c:v>2015</c:v>
                </c:pt>
                <c:pt idx="3">
                  <c:v>2016</c:v>
                </c:pt>
                <c:pt idx="4">
                  <c:v>2017</c:v>
                </c:pt>
                <c:pt idx="5">
                  <c:v>2018</c:v>
                </c:pt>
                <c:pt idx="6">
                  <c:v>2019</c:v>
                </c:pt>
                <c:pt idx="7">
                  <c:v>2020</c:v>
                </c:pt>
              </c:numCache>
            </c:numRef>
          </c:xVal>
          <c:yVal>
            <c:numRef>
              <c:f>Sheet1!$C$14:$J$14</c:f>
              <c:numCache>
                <c:formatCode>General</c:formatCode>
                <c:ptCount val="8"/>
                <c:pt idx="0">
                  <c:v>0.94</c:v>
                </c:pt>
                <c:pt idx="1">
                  <c:v>0.86</c:v>
                </c:pt>
                <c:pt idx="2">
                  <c:v>0.72</c:v>
                </c:pt>
              </c:numCache>
            </c:numRef>
          </c:yVal>
          <c:smooth val="1"/>
        </c:ser>
        <c:ser>
          <c:idx val="1"/>
          <c:order val="1"/>
          <c:tx>
            <c:strRef>
              <c:f>Sheet1!$B$15</c:f>
              <c:strCache>
                <c:ptCount val="1"/>
                <c:pt idx="0">
                  <c:v>Mean</c:v>
                </c:pt>
              </c:strCache>
            </c:strRef>
          </c:tx>
          <c:spPr>
            <a:ln w="28575">
              <a:solidFill>
                <a:schemeClr val="accent2">
                  <a:alpha val="20000"/>
                </a:schemeClr>
              </a:solidFill>
            </a:ln>
            <a:effectLst/>
          </c:spPr>
          <c:marker>
            <c:symbol val="circle"/>
            <c:size val="4"/>
            <c:spPr>
              <a:solidFill>
                <a:schemeClr val="accent2"/>
              </a:solidFill>
              <a:ln w="9525" cap="flat" cmpd="sng" algn="ctr">
                <a:solidFill>
                  <a:schemeClr val="accent2"/>
                </a:solidFill>
                <a:round/>
              </a:ln>
              <a:effectLst/>
            </c:spPr>
          </c:marker>
          <c:xVal>
            <c:numRef>
              <c:f>Sheet1!$C$13:$J$13</c:f>
              <c:numCache>
                <c:formatCode>General</c:formatCode>
                <c:ptCount val="8"/>
                <c:pt idx="0">
                  <c:v>2013</c:v>
                </c:pt>
                <c:pt idx="1">
                  <c:v>2014</c:v>
                </c:pt>
                <c:pt idx="2">
                  <c:v>2015</c:v>
                </c:pt>
                <c:pt idx="3">
                  <c:v>2016</c:v>
                </c:pt>
                <c:pt idx="4">
                  <c:v>2017</c:v>
                </c:pt>
                <c:pt idx="5">
                  <c:v>2018</c:v>
                </c:pt>
                <c:pt idx="6">
                  <c:v>2019</c:v>
                </c:pt>
                <c:pt idx="7">
                  <c:v>2020</c:v>
                </c:pt>
              </c:numCache>
            </c:numRef>
          </c:xVal>
          <c:yVal>
            <c:numRef>
              <c:f>Sheet1!$C$15:$J$15</c:f>
              <c:numCache>
                <c:formatCode>General</c:formatCode>
                <c:ptCount val="8"/>
                <c:pt idx="2">
                  <c:v>0.72</c:v>
                </c:pt>
                <c:pt idx="3">
                  <c:v>0.72</c:v>
                </c:pt>
                <c:pt idx="4">
                  <c:v>0.77</c:v>
                </c:pt>
                <c:pt idx="5">
                  <c:v>0.82</c:v>
                </c:pt>
                <c:pt idx="6">
                  <c:v>0.84</c:v>
                </c:pt>
                <c:pt idx="7">
                  <c:v>0.85</c:v>
                </c:pt>
              </c:numCache>
            </c:numRef>
          </c:yVal>
          <c:smooth val="1"/>
        </c:ser>
        <c:ser>
          <c:idx val="2"/>
          <c:order val="2"/>
          <c:tx>
            <c:strRef>
              <c:f>Sheet1!$B$16</c:f>
              <c:strCache>
                <c:ptCount val="1"/>
                <c:pt idx="0">
                  <c:v>Barclays</c:v>
                </c:pt>
              </c:strCache>
            </c:strRef>
          </c:tx>
          <c:spPr>
            <a:ln w="28575">
              <a:solidFill>
                <a:schemeClr val="accent3">
                  <a:alpha val="20000"/>
                </a:schemeClr>
              </a:solidFill>
            </a:ln>
            <a:effectLst/>
          </c:spPr>
          <c:marker>
            <c:symbol val="circle"/>
            <c:size val="4"/>
            <c:spPr>
              <a:solidFill>
                <a:schemeClr val="accent3"/>
              </a:solidFill>
              <a:ln w="9525" cap="flat" cmpd="sng" algn="ctr">
                <a:solidFill>
                  <a:schemeClr val="accent3"/>
                </a:solidFill>
                <a:round/>
              </a:ln>
              <a:effectLst/>
            </c:spPr>
          </c:marker>
          <c:xVal>
            <c:numRef>
              <c:f>Sheet1!$C$13:$J$13</c:f>
              <c:numCache>
                <c:formatCode>General</c:formatCode>
                <c:ptCount val="8"/>
                <c:pt idx="0">
                  <c:v>2013</c:v>
                </c:pt>
                <c:pt idx="1">
                  <c:v>2014</c:v>
                </c:pt>
                <c:pt idx="2">
                  <c:v>2015</c:v>
                </c:pt>
                <c:pt idx="3">
                  <c:v>2016</c:v>
                </c:pt>
                <c:pt idx="4">
                  <c:v>2017</c:v>
                </c:pt>
                <c:pt idx="5">
                  <c:v>2018</c:v>
                </c:pt>
                <c:pt idx="6">
                  <c:v>2019</c:v>
                </c:pt>
                <c:pt idx="7">
                  <c:v>2020</c:v>
                </c:pt>
              </c:numCache>
            </c:numRef>
          </c:xVal>
          <c:yVal>
            <c:numRef>
              <c:f>Sheet1!$C$16:$J$16</c:f>
              <c:numCache>
                <c:formatCode>General</c:formatCode>
                <c:ptCount val="8"/>
                <c:pt idx="2">
                  <c:v>0.72</c:v>
                </c:pt>
                <c:pt idx="3">
                  <c:v>0.71</c:v>
                </c:pt>
                <c:pt idx="4">
                  <c:v>0.77</c:v>
                </c:pt>
                <c:pt idx="5">
                  <c:v>0.78</c:v>
                </c:pt>
                <c:pt idx="6">
                  <c:v>0.79</c:v>
                </c:pt>
                <c:pt idx="7">
                  <c:v>0.82</c:v>
                </c:pt>
              </c:numCache>
            </c:numRef>
          </c:yVal>
          <c:smooth val="1"/>
        </c:ser>
        <c:ser>
          <c:idx val="3"/>
          <c:order val="3"/>
          <c:tx>
            <c:strRef>
              <c:f>Sheet1!$B$17</c:f>
              <c:strCache>
                <c:ptCount val="1"/>
                <c:pt idx="0">
                  <c:v>JP Morgan Chase</c:v>
                </c:pt>
              </c:strCache>
            </c:strRef>
          </c:tx>
          <c:spPr>
            <a:ln w="28575">
              <a:solidFill>
                <a:schemeClr val="accent4">
                  <a:alpha val="20000"/>
                </a:schemeClr>
              </a:solidFill>
            </a:ln>
            <a:effectLst/>
          </c:spPr>
          <c:marker>
            <c:symbol val="circle"/>
            <c:size val="4"/>
            <c:spPr>
              <a:solidFill>
                <a:schemeClr val="accent4"/>
              </a:solidFill>
              <a:ln w="9525" cap="flat" cmpd="sng" algn="ctr">
                <a:solidFill>
                  <a:schemeClr val="accent4"/>
                </a:solidFill>
                <a:round/>
              </a:ln>
              <a:effectLst/>
            </c:spPr>
          </c:marker>
          <c:xVal>
            <c:numRef>
              <c:f>Sheet1!$C$13:$J$13</c:f>
              <c:numCache>
                <c:formatCode>General</c:formatCode>
                <c:ptCount val="8"/>
                <c:pt idx="0">
                  <c:v>2013</c:v>
                </c:pt>
                <c:pt idx="1">
                  <c:v>2014</c:v>
                </c:pt>
                <c:pt idx="2">
                  <c:v>2015</c:v>
                </c:pt>
                <c:pt idx="3">
                  <c:v>2016</c:v>
                </c:pt>
                <c:pt idx="4">
                  <c:v>2017</c:v>
                </c:pt>
                <c:pt idx="5">
                  <c:v>2018</c:v>
                </c:pt>
                <c:pt idx="6">
                  <c:v>2019</c:v>
                </c:pt>
                <c:pt idx="7">
                  <c:v>2020</c:v>
                </c:pt>
              </c:numCache>
            </c:numRef>
          </c:xVal>
          <c:yVal>
            <c:numRef>
              <c:f>Sheet1!$C$17:$J$17</c:f>
              <c:numCache>
                <c:formatCode>General</c:formatCode>
                <c:ptCount val="8"/>
                <c:pt idx="2">
                  <c:v>0.72</c:v>
                </c:pt>
                <c:pt idx="3">
                  <c:v>0.75</c:v>
                </c:pt>
                <c:pt idx="4">
                  <c:v>0.77</c:v>
                </c:pt>
                <c:pt idx="5">
                  <c:v>0.8</c:v>
                </c:pt>
                <c:pt idx="6">
                  <c:v>0.83</c:v>
                </c:pt>
              </c:numCache>
            </c:numRef>
          </c:yVal>
          <c:smooth val="1"/>
        </c:ser>
        <c:ser>
          <c:idx val="4"/>
          <c:order val="4"/>
          <c:tx>
            <c:strRef>
              <c:f>Sheet1!$B$18</c:f>
              <c:strCache>
                <c:ptCount val="1"/>
                <c:pt idx="0">
                  <c:v>Morgan Stanley</c:v>
                </c:pt>
              </c:strCache>
            </c:strRef>
          </c:tx>
          <c:spPr>
            <a:ln w="28575">
              <a:solidFill>
                <a:schemeClr val="accent5">
                  <a:alpha val="20000"/>
                </a:schemeClr>
              </a:solidFill>
            </a:ln>
            <a:effectLst/>
          </c:spPr>
          <c:marker>
            <c:symbol val="circle"/>
            <c:size val="4"/>
            <c:spPr>
              <a:solidFill>
                <a:schemeClr val="accent5"/>
              </a:solidFill>
              <a:ln w="9525" cap="flat" cmpd="sng" algn="ctr">
                <a:solidFill>
                  <a:schemeClr val="accent5"/>
                </a:solidFill>
                <a:round/>
              </a:ln>
              <a:effectLst/>
            </c:spPr>
          </c:marker>
          <c:xVal>
            <c:numRef>
              <c:f>Sheet1!$C$13:$J$13</c:f>
              <c:numCache>
                <c:formatCode>General</c:formatCode>
                <c:ptCount val="8"/>
                <c:pt idx="0">
                  <c:v>2013</c:v>
                </c:pt>
                <c:pt idx="1">
                  <c:v>2014</c:v>
                </c:pt>
                <c:pt idx="2">
                  <c:v>2015</c:v>
                </c:pt>
                <c:pt idx="3">
                  <c:v>2016</c:v>
                </c:pt>
                <c:pt idx="4">
                  <c:v>2017</c:v>
                </c:pt>
                <c:pt idx="5">
                  <c:v>2018</c:v>
                </c:pt>
                <c:pt idx="6">
                  <c:v>2019</c:v>
                </c:pt>
                <c:pt idx="7">
                  <c:v>2020</c:v>
                </c:pt>
              </c:numCache>
            </c:numRef>
          </c:xVal>
          <c:yVal>
            <c:numRef>
              <c:f>Sheet1!$C$18:$J$18</c:f>
              <c:numCache>
                <c:formatCode>General</c:formatCode>
                <c:ptCount val="8"/>
                <c:pt idx="2">
                  <c:v>0.72</c:v>
                </c:pt>
                <c:pt idx="3">
                  <c:v>0.69</c:v>
                </c:pt>
                <c:pt idx="4">
                  <c:v>0.71</c:v>
                </c:pt>
              </c:numCache>
            </c:numRef>
          </c:yVal>
          <c:smooth val="1"/>
        </c:ser>
        <c:ser>
          <c:idx val="5"/>
          <c:order val="5"/>
          <c:tx>
            <c:strRef>
              <c:f>Sheet1!$B$19</c:f>
              <c:strCache>
                <c:ptCount val="1"/>
                <c:pt idx="0">
                  <c:v>RBC Capital Markets</c:v>
                </c:pt>
              </c:strCache>
            </c:strRef>
          </c:tx>
          <c:spPr>
            <a:ln w="28575">
              <a:solidFill>
                <a:schemeClr val="accent6">
                  <a:alpha val="20000"/>
                </a:schemeClr>
              </a:solidFill>
            </a:ln>
            <a:effectLst/>
          </c:spPr>
          <c:marker>
            <c:symbol val="circle"/>
            <c:size val="4"/>
            <c:spPr>
              <a:solidFill>
                <a:schemeClr val="accent6"/>
              </a:solidFill>
              <a:ln w="9525" cap="flat" cmpd="sng" algn="ctr">
                <a:solidFill>
                  <a:schemeClr val="accent6"/>
                </a:solidFill>
                <a:round/>
              </a:ln>
              <a:effectLst/>
            </c:spPr>
          </c:marker>
          <c:xVal>
            <c:numRef>
              <c:f>Sheet1!$C$13:$J$13</c:f>
              <c:numCache>
                <c:formatCode>General</c:formatCode>
                <c:ptCount val="8"/>
                <c:pt idx="0">
                  <c:v>2013</c:v>
                </c:pt>
                <c:pt idx="1">
                  <c:v>2014</c:v>
                </c:pt>
                <c:pt idx="2">
                  <c:v>2015</c:v>
                </c:pt>
                <c:pt idx="3">
                  <c:v>2016</c:v>
                </c:pt>
                <c:pt idx="4">
                  <c:v>2017</c:v>
                </c:pt>
                <c:pt idx="5">
                  <c:v>2018</c:v>
                </c:pt>
                <c:pt idx="6">
                  <c:v>2019</c:v>
                </c:pt>
                <c:pt idx="7">
                  <c:v>2020</c:v>
                </c:pt>
              </c:numCache>
            </c:numRef>
          </c:xVal>
          <c:yVal>
            <c:numRef>
              <c:f>Sheet1!$C$19:$J$19</c:f>
              <c:numCache>
                <c:formatCode>General</c:formatCode>
                <c:ptCount val="8"/>
                <c:pt idx="2">
                  <c:v>0.72</c:v>
                </c:pt>
                <c:pt idx="3">
                  <c:v>0.73</c:v>
                </c:pt>
                <c:pt idx="4">
                  <c:v>0.77</c:v>
                </c:pt>
                <c:pt idx="5">
                  <c:v>0.82</c:v>
                </c:pt>
                <c:pt idx="6">
                  <c:v>0.84</c:v>
                </c:pt>
                <c:pt idx="7">
                  <c:v>0.85</c:v>
                </c:pt>
              </c:numCache>
            </c:numRef>
          </c:yVal>
          <c:smooth val="1"/>
        </c:ser>
        <c:dLbls>
          <c:showLegendKey val="0"/>
          <c:showVal val="0"/>
          <c:showCatName val="0"/>
          <c:showSerName val="0"/>
          <c:showPercent val="0"/>
          <c:showBubbleSize val="0"/>
        </c:dLbls>
        <c:axId val="506533008"/>
        <c:axId val="506533792"/>
      </c:scatterChart>
      <c:valAx>
        <c:axId val="506533008"/>
        <c:scaling>
          <c:orientation val="minMax"/>
          <c:max val="2020"/>
          <c:min val="2013"/>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06533792"/>
        <c:crosses val="autoZero"/>
        <c:crossBetween val="midCat"/>
      </c:valAx>
      <c:valAx>
        <c:axId val="506533792"/>
        <c:scaling>
          <c:orientation val="minMax"/>
          <c:max val="0.95"/>
          <c:min val="0.65"/>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0653300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Revenue</a:t>
            </a:r>
            <a:r>
              <a:rPr lang="en-CA" baseline="0"/>
              <a:t> Breakdown</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544968501189397"/>
          <c:y val="0.1500860127825924"/>
          <c:w val="0.79336294726520995"/>
          <c:h val="0.80540209342909497"/>
        </c:manualLayout>
      </c:layout>
      <c:pieChart>
        <c:varyColors val="1"/>
        <c:ser>
          <c:idx val="0"/>
          <c:order val="0"/>
          <c:explosion val="5"/>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Sheet1!$B$20:$B$24</c:f>
              <c:strCache>
                <c:ptCount val="5"/>
                <c:pt idx="0">
                  <c:v>Lift</c:v>
                </c:pt>
                <c:pt idx="1">
                  <c:v>Retail and Rental</c:v>
                </c:pt>
                <c:pt idx="2">
                  <c:v>School</c:v>
                </c:pt>
                <c:pt idx="3">
                  <c:v>Food and Beverage</c:v>
                </c:pt>
                <c:pt idx="4">
                  <c:v>Other</c:v>
                </c:pt>
              </c:strCache>
            </c:strRef>
          </c:cat>
          <c:val>
            <c:numRef>
              <c:f>Sheet1!$C$20:$C$24</c:f>
              <c:numCache>
                <c:formatCode>0%</c:formatCode>
                <c:ptCount val="5"/>
                <c:pt idx="0">
                  <c:v>0.48</c:v>
                </c:pt>
                <c:pt idx="1">
                  <c:v>0.21</c:v>
                </c:pt>
                <c:pt idx="2">
                  <c:v>0.11</c:v>
                </c:pt>
                <c:pt idx="3">
                  <c:v>0.12</c:v>
                </c:pt>
                <c:pt idx="4">
                  <c:v>0.08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2638230647709321E-2"/>
          <c:y val="1.171168580044381E-2"/>
          <c:w val="0.22565295498801802"/>
          <c:h val="0.97009112972988543"/>
        </c:manualLayout>
      </c:layout>
      <c:overlay val="1"/>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CA" sz="1100" b="1"/>
              <a:t>Destination</a:t>
            </a:r>
            <a:r>
              <a:rPr lang="en-CA" sz="1100" b="1" baseline="0"/>
              <a:t> VS. Local</a:t>
            </a:r>
            <a:endParaRPr lang="en-CA"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'[WB.v6 (1).xlsx]Sheet1'!$A$36</c:f>
              <c:strCache>
                <c:ptCount val="1"/>
                <c:pt idx="0">
                  <c:v>Local and Regional</c:v>
                </c:pt>
              </c:strCache>
            </c:strRef>
          </c:tx>
          <c:spPr>
            <a:solidFill>
              <a:schemeClr val="accent1">
                <a:shade val="76000"/>
              </a:schemeClr>
            </a:solidFill>
            <a:ln>
              <a:noFill/>
            </a:ln>
            <a:effectLst/>
          </c:spPr>
          <c:invertIfNegative val="0"/>
          <c:cat>
            <c:strRef>
              <c:f>'[WB.v6 (1).xlsx]Sheet1'!$B$35:$I$35</c:f>
              <c:strCache>
                <c:ptCount val="8"/>
                <c:pt idx="0">
                  <c:v>2013</c:v>
                </c:pt>
                <c:pt idx="1">
                  <c:v>2014</c:v>
                </c:pt>
                <c:pt idx="2">
                  <c:v>2015</c:v>
                </c:pt>
                <c:pt idx="3">
                  <c:v>2016E</c:v>
                </c:pt>
                <c:pt idx="4">
                  <c:v>2017E</c:v>
                </c:pt>
                <c:pt idx="5">
                  <c:v>2018E</c:v>
                </c:pt>
                <c:pt idx="6">
                  <c:v>2019E</c:v>
                </c:pt>
                <c:pt idx="7">
                  <c:v>2020E</c:v>
                </c:pt>
              </c:strCache>
            </c:strRef>
          </c:cat>
          <c:val>
            <c:numRef>
              <c:f>'[WB.v6 (1).xlsx]Sheet1'!$B$36:$I$36</c:f>
              <c:numCache>
                <c:formatCode>0%</c:formatCode>
                <c:ptCount val="8"/>
                <c:pt idx="0">
                  <c:v>0.62</c:v>
                </c:pt>
                <c:pt idx="1">
                  <c:v>0.59</c:v>
                </c:pt>
                <c:pt idx="2">
                  <c:v>0.51</c:v>
                </c:pt>
                <c:pt idx="3">
                  <c:v>0.46</c:v>
                </c:pt>
                <c:pt idx="4">
                  <c:v>0.45</c:v>
                </c:pt>
                <c:pt idx="5">
                  <c:v>0.44</c:v>
                </c:pt>
                <c:pt idx="6">
                  <c:v>0.43</c:v>
                </c:pt>
                <c:pt idx="7">
                  <c:v>0.42</c:v>
                </c:pt>
              </c:numCache>
            </c:numRef>
          </c:val>
        </c:ser>
        <c:ser>
          <c:idx val="1"/>
          <c:order val="1"/>
          <c:tx>
            <c:strRef>
              <c:f>'[WB.v6 (1).xlsx]Sheet1'!$A$37</c:f>
              <c:strCache>
                <c:ptCount val="1"/>
                <c:pt idx="0">
                  <c:v>Destination Guests </c:v>
                </c:pt>
              </c:strCache>
            </c:strRef>
          </c:tx>
          <c:spPr>
            <a:solidFill>
              <a:schemeClr val="accent1">
                <a:tint val="77000"/>
              </a:schemeClr>
            </a:solidFill>
            <a:ln>
              <a:noFill/>
            </a:ln>
            <a:effectLst/>
          </c:spPr>
          <c:invertIfNegative val="0"/>
          <c:cat>
            <c:strRef>
              <c:f>'[WB.v6 (1).xlsx]Sheet1'!$B$35:$I$35</c:f>
              <c:strCache>
                <c:ptCount val="8"/>
                <c:pt idx="0">
                  <c:v>2013</c:v>
                </c:pt>
                <c:pt idx="1">
                  <c:v>2014</c:v>
                </c:pt>
                <c:pt idx="2">
                  <c:v>2015</c:v>
                </c:pt>
                <c:pt idx="3">
                  <c:v>2016E</c:v>
                </c:pt>
                <c:pt idx="4">
                  <c:v>2017E</c:v>
                </c:pt>
                <c:pt idx="5">
                  <c:v>2018E</c:v>
                </c:pt>
                <c:pt idx="6">
                  <c:v>2019E</c:v>
                </c:pt>
                <c:pt idx="7">
                  <c:v>2020E</c:v>
                </c:pt>
              </c:strCache>
            </c:strRef>
          </c:cat>
          <c:val>
            <c:numRef>
              <c:f>'[WB.v6 (1).xlsx]Sheet1'!$B$37:$I$37</c:f>
              <c:numCache>
                <c:formatCode>0%</c:formatCode>
                <c:ptCount val="8"/>
                <c:pt idx="0">
                  <c:v>0.38</c:v>
                </c:pt>
                <c:pt idx="1">
                  <c:v>0.41</c:v>
                </c:pt>
                <c:pt idx="2">
                  <c:v>0.49</c:v>
                </c:pt>
                <c:pt idx="3">
                  <c:v>0.54</c:v>
                </c:pt>
                <c:pt idx="4">
                  <c:v>0.55000000000000004</c:v>
                </c:pt>
                <c:pt idx="5">
                  <c:v>0.56000000000000005</c:v>
                </c:pt>
                <c:pt idx="6">
                  <c:v>0.56999999999999995</c:v>
                </c:pt>
                <c:pt idx="7">
                  <c:v>0.57999999999999996</c:v>
                </c:pt>
              </c:numCache>
            </c:numRef>
          </c:val>
        </c:ser>
        <c:dLbls>
          <c:showLegendKey val="0"/>
          <c:showVal val="0"/>
          <c:showCatName val="0"/>
          <c:showSerName val="0"/>
          <c:showPercent val="0"/>
          <c:showBubbleSize val="0"/>
        </c:dLbls>
        <c:gapWidth val="150"/>
        <c:overlap val="100"/>
        <c:axId val="385351544"/>
        <c:axId val="384103024"/>
      </c:barChart>
      <c:catAx>
        <c:axId val="38535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103024"/>
        <c:crosses val="autoZero"/>
        <c:auto val="1"/>
        <c:lblAlgn val="ctr"/>
        <c:lblOffset val="100"/>
        <c:noMultiLvlLbl val="0"/>
      </c:catAx>
      <c:valAx>
        <c:axId val="384103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351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Annual Visitors(Millions)</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Sheet1!$A$13</c:f>
              <c:strCache>
                <c:ptCount val="1"/>
                <c:pt idx="0">
                  <c:v>Annual Visitors</c:v>
                </c:pt>
              </c:strCache>
            </c:strRef>
          </c:tx>
          <c:spPr>
            <a:solidFill>
              <a:schemeClr val="accent1"/>
            </a:solidFill>
            <a:ln>
              <a:noFill/>
            </a:ln>
            <a:effectLst/>
          </c:spPr>
          <c:invertIfNegative val="0"/>
          <c:cat>
            <c:strRef>
              <c:f>Sheet1!$B$8:$D$8</c:f>
              <c:strCache>
                <c:ptCount val="3"/>
                <c:pt idx="0">
                  <c:v>Whistler Blackcomb</c:v>
                </c:pt>
                <c:pt idx="1">
                  <c:v>Vail</c:v>
                </c:pt>
                <c:pt idx="2">
                  <c:v>Breckenridge</c:v>
                </c:pt>
              </c:strCache>
            </c:strRef>
          </c:cat>
          <c:val>
            <c:numRef>
              <c:f>Sheet1!$B$13:$D$13</c:f>
              <c:numCache>
                <c:formatCode>General</c:formatCode>
                <c:ptCount val="3"/>
                <c:pt idx="0">
                  <c:v>2</c:v>
                </c:pt>
                <c:pt idx="1">
                  <c:v>1.63</c:v>
                </c:pt>
                <c:pt idx="2">
                  <c:v>1.6</c:v>
                </c:pt>
              </c:numCache>
            </c:numRef>
          </c:val>
        </c:ser>
        <c:dLbls>
          <c:showLegendKey val="0"/>
          <c:showVal val="0"/>
          <c:showCatName val="0"/>
          <c:showSerName val="0"/>
          <c:showPercent val="0"/>
          <c:showBubbleSize val="0"/>
        </c:dLbls>
        <c:gapWidth val="182"/>
        <c:axId val="384104592"/>
        <c:axId val="384104984"/>
      </c:barChart>
      <c:catAx>
        <c:axId val="384104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84104984"/>
        <c:crosses val="autoZero"/>
        <c:auto val="1"/>
        <c:lblAlgn val="ctr"/>
        <c:lblOffset val="100"/>
        <c:noMultiLvlLbl val="0"/>
      </c:catAx>
      <c:valAx>
        <c:axId val="384104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84104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CA" sz="1100" b="1"/>
              <a:t>Demographics</a:t>
            </a:r>
            <a:r>
              <a:rPr lang="en-CA" sz="1100" b="1" baseline="0"/>
              <a:t> by Age</a:t>
            </a:r>
            <a:endParaRPr lang="en-CA" sz="1100" b="1"/>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'[WB.v6 (1).xlsx]Sheet2'!$H$5:$H$8</c:f>
              <c:strCache>
                <c:ptCount val="4"/>
                <c:pt idx="0">
                  <c:v>0-15</c:v>
                </c:pt>
                <c:pt idx="1">
                  <c:v>16-34</c:v>
                </c:pt>
                <c:pt idx="2">
                  <c:v>34-50</c:v>
                </c:pt>
                <c:pt idx="3">
                  <c:v>50+</c:v>
                </c:pt>
              </c:strCache>
            </c:strRef>
          </c:cat>
          <c:val>
            <c:numRef>
              <c:f>'[WB.v6 (1).xlsx]Sheet2'!$I$5:$I$8</c:f>
              <c:numCache>
                <c:formatCode>#,##0</c:formatCode>
                <c:ptCount val="4"/>
                <c:pt idx="0">
                  <c:v>1987330589</c:v>
                </c:pt>
                <c:pt idx="1">
                  <c:v>2102083998</c:v>
                </c:pt>
                <c:pt idx="2">
                  <c:v>1644063327</c:v>
                </c:pt>
                <c:pt idx="3">
                  <c:v>1679906715</c:v>
                </c:pt>
              </c:numCache>
            </c:numRef>
          </c:val>
        </c:ser>
        <c:dLbls>
          <c:showLegendKey val="0"/>
          <c:showVal val="0"/>
          <c:showCatName val="0"/>
          <c:showSerName val="0"/>
          <c:showPercent val="0"/>
          <c:showBubbleSize val="0"/>
        </c:dLbls>
        <c:gapWidth val="219"/>
        <c:overlap val="-27"/>
        <c:axId val="384103416"/>
        <c:axId val="248520080"/>
      </c:barChart>
      <c:catAx>
        <c:axId val="384103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48520080"/>
        <c:crosses val="autoZero"/>
        <c:auto val="1"/>
        <c:lblAlgn val="ctr"/>
        <c:lblOffset val="100"/>
        <c:noMultiLvlLbl val="0"/>
      </c:catAx>
      <c:valAx>
        <c:axId val="248520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84103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CA" sz="1100" b="1"/>
              <a:t>Average Snowfall</a:t>
            </a:r>
            <a:r>
              <a:rPr lang="en-CA" sz="1100" b="1" baseline="0"/>
              <a:t> (FT)</a:t>
            </a:r>
            <a:endParaRPr lang="en-CA"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Sheet1!$A$14</c:f>
              <c:strCache>
                <c:ptCount val="1"/>
                <c:pt idx="0">
                  <c:v>Average Snowfall</c:v>
                </c:pt>
              </c:strCache>
            </c:strRef>
          </c:tx>
          <c:spPr>
            <a:solidFill>
              <a:schemeClr val="accent1"/>
            </a:solidFill>
            <a:ln>
              <a:noFill/>
            </a:ln>
            <a:effectLst/>
          </c:spPr>
          <c:invertIfNegative val="0"/>
          <c:cat>
            <c:strRef>
              <c:f>Sheet1!$B$8:$D$8</c:f>
              <c:strCache>
                <c:ptCount val="3"/>
                <c:pt idx="0">
                  <c:v>Whistler Blackcomb</c:v>
                </c:pt>
                <c:pt idx="1">
                  <c:v>Vail</c:v>
                </c:pt>
                <c:pt idx="2">
                  <c:v>Breckenridge</c:v>
                </c:pt>
              </c:strCache>
            </c:strRef>
          </c:cat>
          <c:val>
            <c:numRef>
              <c:f>Sheet1!$B$14:$D$14</c:f>
              <c:numCache>
                <c:formatCode>General</c:formatCode>
                <c:ptCount val="3"/>
                <c:pt idx="0">
                  <c:v>38.200000000000003</c:v>
                </c:pt>
                <c:pt idx="1">
                  <c:v>29.5</c:v>
                </c:pt>
                <c:pt idx="2">
                  <c:v>29.2</c:v>
                </c:pt>
              </c:numCache>
            </c:numRef>
          </c:val>
        </c:ser>
        <c:dLbls>
          <c:showLegendKey val="0"/>
          <c:showVal val="0"/>
          <c:showCatName val="0"/>
          <c:showSerName val="0"/>
          <c:showPercent val="0"/>
          <c:showBubbleSize val="0"/>
        </c:dLbls>
        <c:gapWidth val="182"/>
        <c:axId val="248519688"/>
        <c:axId val="248520472"/>
      </c:barChart>
      <c:catAx>
        <c:axId val="248519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48520472"/>
        <c:crosses val="autoZero"/>
        <c:auto val="1"/>
        <c:lblAlgn val="ctr"/>
        <c:lblOffset val="100"/>
        <c:noMultiLvlLbl val="0"/>
      </c:catAx>
      <c:valAx>
        <c:axId val="248520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48519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latin typeface="Arial" panose="020B0604020202020204" pitchFamily="34" charset="0"/>
                <a:cs typeface="Arial" panose="020B0604020202020204" pitchFamily="34" charset="0"/>
              </a:rPr>
              <a:t>Net</a:t>
            </a:r>
            <a:r>
              <a:rPr lang="en-US" sz="1100" b="1" baseline="0">
                <a:latin typeface="Arial" panose="020B0604020202020204" pitchFamily="34" charset="0"/>
                <a:cs typeface="Arial" panose="020B0604020202020204" pitchFamily="34" charset="0"/>
              </a:rPr>
              <a:t>&amp;</a:t>
            </a:r>
            <a:r>
              <a:rPr lang="en-US" sz="1100" b="1">
                <a:latin typeface="Arial" panose="020B0604020202020204" pitchFamily="34" charset="0"/>
                <a:cs typeface="Arial" panose="020B0604020202020204" pitchFamily="34" charset="0"/>
              </a:rPr>
              <a:t>Operating Margin</a:t>
            </a:r>
            <a:r>
              <a:rPr lang="en-US" sz="1100" b="1" baseline="0">
                <a:latin typeface="Arial" panose="020B0604020202020204" pitchFamily="34" charset="0"/>
                <a:cs typeface="Arial" panose="020B0604020202020204" pitchFamily="34" charset="0"/>
              </a:rPr>
              <a:t> </a:t>
            </a:r>
            <a:endParaRPr lang="en-US" sz="1100" b="1">
              <a:latin typeface="Arial" panose="020B0604020202020204" pitchFamily="34" charset="0"/>
              <a:cs typeface="Arial" panose="020B0604020202020204" pitchFamily="34" charset="0"/>
            </a:endParaRPr>
          </a:p>
        </c:rich>
      </c:tx>
      <c:layout>
        <c:manualLayout>
          <c:xMode val="edge"/>
          <c:yMode val="edge"/>
          <c:x val="0.27979155730533678"/>
          <c:y val="4.6296296296296294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'[WB.v5.xlsx]Income Statement'!$B$36</c:f>
              <c:strCache>
                <c:ptCount val="1"/>
                <c:pt idx="0">
                  <c:v>Net Income Margin</c:v>
                </c:pt>
              </c:strCache>
            </c:strRef>
          </c:tx>
          <c:spPr>
            <a:ln w="28575" cap="rnd">
              <a:solidFill>
                <a:schemeClr val="accent6"/>
              </a:solidFill>
              <a:round/>
            </a:ln>
            <a:effectLst/>
          </c:spPr>
          <c:marker>
            <c:symbol val="none"/>
          </c:marker>
          <c:cat>
            <c:numRef>
              <c:f>'[WB.v5.xlsx]Income Statement'!$C$35:$L$35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'[WB.v5.xlsx]Income Statement'!$C$36:$L$36</c:f>
              <c:numCache>
                <c:formatCode>0.0%</c:formatCode>
                <c:ptCount val="9"/>
                <c:pt idx="0">
                  <c:v>9.0628331612881391E-2</c:v>
                </c:pt>
                <c:pt idx="1">
                  <c:v>8.5463908962538415E-2</c:v>
                </c:pt>
                <c:pt idx="2">
                  <c:v>9.3420085888172508E-2</c:v>
                </c:pt>
                <c:pt idx="3">
                  <c:v>0.1117771320933142</c:v>
                </c:pt>
                <c:pt idx="4">
                  <c:v>0.17208808169490977</c:v>
                </c:pt>
                <c:pt idx="5">
                  <c:v>0.17960918490465486</c:v>
                </c:pt>
                <c:pt idx="6">
                  <c:v>0.18552257145408221</c:v>
                </c:pt>
                <c:pt idx="7">
                  <c:v>0.19060457278596396</c:v>
                </c:pt>
                <c:pt idx="8">
                  <c:v>0.1950870015939361</c:v>
                </c:pt>
              </c:numCache>
            </c:numRef>
          </c:val>
          <c:smooth val="0"/>
        </c:ser>
        <c:ser>
          <c:idx val="1"/>
          <c:order val="1"/>
          <c:tx>
            <c:strRef>
              <c:f>'[WB.v5.xlsx]Income Statement'!$B$37</c:f>
              <c:strCache>
                <c:ptCount val="1"/>
                <c:pt idx="0">
                  <c:v>Operating Income Margin</c:v>
                </c:pt>
              </c:strCache>
            </c:strRef>
          </c:tx>
          <c:spPr>
            <a:ln w="28575" cap="rnd">
              <a:solidFill>
                <a:schemeClr val="accent5"/>
              </a:solidFill>
              <a:round/>
            </a:ln>
            <a:effectLst/>
          </c:spPr>
          <c:marker>
            <c:symbol val="none"/>
          </c:marker>
          <c:cat>
            <c:numRef>
              <c:f>'[WB.v5.xlsx]Income Statement'!$C$35:$L$35</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'[WB.v5.xlsx]Income Statement'!$C$37:$L$37</c:f>
              <c:numCache>
                <c:formatCode>0.0%</c:formatCode>
                <c:ptCount val="9"/>
                <c:pt idx="0">
                  <c:v>0.19632612999847696</c:v>
                </c:pt>
                <c:pt idx="1">
                  <c:v>0.19181410416147521</c:v>
                </c:pt>
                <c:pt idx="2">
                  <c:v>0.20203365590510652</c:v>
                </c:pt>
                <c:pt idx="3">
                  <c:v>0.19366720812647287</c:v>
                </c:pt>
                <c:pt idx="4">
                  <c:v>0.24083294736842104</c:v>
                </c:pt>
                <c:pt idx="5">
                  <c:v>0.24720902038181508</c:v>
                </c:pt>
                <c:pt idx="6">
                  <c:v>0.2522765556380423</c:v>
                </c:pt>
                <c:pt idx="7">
                  <c:v>0.25665342697375609</c:v>
                </c:pt>
                <c:pt idx="8">
                  <c:v>0.26052732275653301</c:v>
                </c:pt>
              </c:numCache>
            </c:numRef>
          </c:val>
          <c:smooth val="0"/>
        </c:ser>
        <c:dLbls>
          <c:showLegendKey val="0"/>
          <c:showVal val="0"/>
          <c:showCatName val="0"/>
          <c:showSerName val="0"/>
          <c:showPercent val="0"/>
          <c:showBubbleSize val="0"/>
        </c:dLbls>
        <c:smooth val="0"/>
        <c:axId val="502595376"/>
        <c:axId val="502595768"/>
      </c:lineChart>
      <c:catAx>
        <c:axId val="50259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02595768"/>
        <c:crosses val="autoZero"/>
        <c:auto val="1"/>
        <c:lblAlgn val="ctr"/>
        <c:lblOffset val="100"/>
        <c:noMultiLvlLbl val="0"/>
      </c:catAx>
      <c:valAx>
        <c:axId val="5025957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0259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dbl"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'[WB.v7.xlsx]Income Statement'!$E$50</c:f>
              <c:strCache>
                <c:ptCount val="1"/>
                <c:pt idx="0">
                  <c:v>Dividend Payout Ratio</c:v>
                </c:pt>
              </c:strCache>
            </c:strRef>
          </c:tx>
          <c:spPr>
            <a:ln w="28575" cap="rnd">
              <a:solidFill>
                <a:schemeClr val="accent1"/>
              </a:solidFill>
              <a:round/>
            </a:ln>
            <a:effectLst/>
          </c:spPr>
          <c:marker>
            <c:symbol val="none"/>
          </c:marker>
          <c:cat>
            <c:strRef>
              <c:f>'[WB.v7.xlsx]Income Statement'!$F$47:$L$47</c:f>
              <c:strCache>
                <c:ptCount val="7"/>
                <c:pt idx="0">
                  <c:v>2014</c:v>
                </c:pt>
                <c:pt idx="1">
                  <c:v>2015</c:v>
                </c:pt>
                <c:pt idx="2">
                  <c:v>2016e</c:v>
                </c:pt>
                <c:pt idx="3">
                  <c:v>2017e</c:v>
                </c:pt>
                <c:pt idx="4">
                  <c:v>2018e</c:v>
                </c:pt>
                <c:pt idx="5">
                  <c:v>2019e</c:v>
                </c:pt>
                <c:pt idx="6">
                  <c:v>2020e</c:v>
                </c:pt>
              </c:strCache>
            </c:strRef>
          </c:cat>
          <c:val>
            <c:numRef>
              <c:f>'[WB.v7.xlsx]Income Statement'!$F$50:$L$50</c:f>
              <c:numCache>
                <c:formatCode>0.0%</c:formatCode>
                <c:ptCount val="7"/>
                <c:pt idx="0">
                  <c:v>1.5542330823905453</c:v>
                </c:pt>
                <c:pt idx="1">
                  <c:v>1.2642082281503706</c:v>
                </c:pt>
                <c:pt idx="2">
                  <c:v>0.75628344019094662</c:v>
                </c:pt>
                <c:pt idx="3">
                  <c:v>0.69760524165277304</c:v>
                </c:pt>
                <c:pt idx="4">
                  <c:v>0.65733898876223096</c:v>
                </c:pt>
                <c:pt idx="5">
                  <c:v>0.62518248728262638</c:v>
                </c:pt>
                <c:pt idx="6">
                  <c:v>0.59848207987974544</c:v>
                </c:pt>
              </c:numCache>
            </c:numRef>
          </c:val>
          <c:smooth val="0"/>
        </c:ser>
        <c:dLbls>
          <c:showLegendKey val="0"/>
          <c:showVal val="0"/>
          <c:showCatName val="0"/>
          <c:showSerName val="0"/>
          <c:showPercent val="0"/>
          <c:showBubbleSize val="0"/>
        </c:dLbls>
        <c:smooth val="0"/>
        <c:axId val="476979984"/>
        <c:axId val="476981160"/>
      </c:lineChart>
      <c:catAx>
        <c:axId val="47697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981160"/>
        <c:crosses val="autoZero"/>
        <c:auto val="1"/>
        <c:lblAlgn val="ctr"/>
        <c:lblOffset val="100"/>
        <c:noMultiLvlLbl val="0"/>
      </c:catAx>
      <c:valAx>
        <c:axId val="4769811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979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latin typeface="Arial" panose="020B0604020202020204" pitchFamily="34" charset="0"/>
                <a:cs typeface="Arial" panose="020B0604020202020204" pitchFamily="34" charset="0"/>
              </a:rPr>
              <a:t>Cash</a:t>
            </a:r>
            <a:r>
              <a:rPr lang="en-US" sz="1100" b="1" baseline="0">
                <a:latin typeface="Arial" panose="020B0604020202020204" pitchFamily="34" charset="0"/>
                <a:cs typeface="Arial" panose="020B0604020202020204" pitchFamily="34" charset="0"/>
              </a:rPr>
              <a:t> Available VS Interest&amp;Dividends</a:t>
            </a:r>
            <a:endParaRPr lang="en-US" sz="1100" b="1">
              <a:latin typeface="Arial" panose="020B0604020202020204" pitchFamily="34" charset="0"/>
              <a:cs typeface="Arial" panose="020B0604020202020204" pitchFamily="34" charset="0"/>
            </a:endParaRPr>
          </a:p>
        </c:rich>
      </c:tx>
      <c:layout>
        <c:manualLayout>
          <c:xMode val="edge"/>
          <c:yMode val="edge"/>
          <c:x val="0.23706233595800524"/>
          <c:y val="3.2407407407407406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'[WB.v5.xlsx]Income Statement'!$B$41</c:f>
              <c:strCache>
                <c:ptCount val="1"/>
                <c:pt idx="0">
                  <c:v>Cash Available</c:v>
                </c:pt>
              </c:strCache>
            </c:strRef>
          </c:tx>
          <c:spPr>
            <a:solidFill>
              <a:schemeClr val="accent1"/>
            </a:solidFill>
            <a:ln>
              <a:noFill/>
            </a:ln>
            <a:effectLst/>
          </c:spPr>
          <c:invertIfNegative val="0"/>
          <c:cat>
            <c:numRef>
              <c:f>'[WB.v5.xlsx]Income Statement'!$C$40:$L$40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'[WB.v5.xlsx]Income Statement'!$C$41:$L$41</c:f>
              <c:numCache>
                <c:formatCode>#,##0.00</c:formatCode>
                <c:ptCount val="9"/>
                <c:pt idx="0">
                  <c:v>30.023</c:v>
                </c:pt>
                <c:pt idx="1">
                  <c:v>43.533999999999999</c:v>
                </c:pt>
                <c:pt idx="2">
                  <c:v>41.353000000000002</c:v>
                </c:pt>
                <c:pt idx="3">
                  <c:v>8.41</c:v>
                </c:pt>
                <c:pt idx="4">
                  <c:v>5.6820003089904798</c:v>
                </c:pt>
                <c:pt idx="5">
                  <c:v>9.8306540633170965</c:v>
                </c:pt>
                <c:pt idx="6">
                  <c:v>14.540306396026152</c:v>
                </c:pt>
                <c:pt idx="7">
                  <c:v>20.430930610374062</c:v>
                </c:pt>
                <c:pt idx="8">
                  <c:v>27.445227597375279</c:v>
                </c:pt>
              </c:numCache>
            </c:numRef>
          </c:val>
        </c:ser>
        <c:ser>
          <c:idx val="1"/>
          <c:order val="1"/>
          <c:tx>
            <c:strRef>
              <c:f>'[WB.v5.xlsx]Income Statement'!$B$42</c:f>
              <c:strCache>
                <c:ptCount val="1"/>
                <c:pt idx="0">
                  <c:v>Interest</c:v>
                </c:pt>
              </c:strCache>
            </c:strRef>
          </c:tx>
          <c:spPr>
            <a:solidFill>
              <a:schemeClr val="accent2"/>
            </a:solidFill>
            <a:ln>
              <a:noFill/>
            </a:ln>
            <a:effectLst/>
          </c:spPr>
          <c:invertIfNegative val="0"/>
          <c:cat>
            <c:numRef>
              <c:f>'[WB.v5.xlsx]Income Statement'!$C$40:$L$40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'[WB.v5.xlsx]Income Statement'!$C$42:$L$42</c:f>
              <c:numCache>
                <c:formatCode>#,##0.0</c:formatCode>
                <c:ptCount val="9"/>
                <c:pt idx="0">
                  <c:v>17.457999999999998</c:v>
                </c:pt>
                <c:pt idx="1">
                  <c:v>16.75</c:v>
                </c:pt>
                <c:pt idx="2">
                  <c:v>18.591999999999999</c:v>
                </c:pt>
                <c:pt idx="3">
                  <c:v>11.955</c:v>
                </c:pt>
                <c:pt idx="4">
                  <c:v>9.2509528000000003</c:v>
                </c:pt>
                <c:pt idx="5">
                  <c:v>9.2509528000000003</c:v>
                </c:pt>
                <c:pt idx="6">
                  <c:v>9.2509528000000003</c:v>
                </c:pt>
                <c:pt idx="7">
                  <c:v>9.2509528000000003</c:v>
                </c:pt>
                <c:pt idx="8">
                  <c:v>9.2509528000000003</c:v>
                </c:pt>
              </c:numCache>
            </c:numRef>
          </c:val>
        </c:ser>
        <c:ser>
          <c:idx val="2"/>
          <c:order val="2"/>
          <c:tx>
            <c:strRef>
              <c:f>'[WB.v5.xlsx]Income Statement'!$B$43</c:f>
              <c:strCache>
                <c:ptCount val="1"/>
                <c:pt idx="0">
                  <c:v>Dividends</c:v>
                </c:pt>
              </c:strCache>
            </c:strRef>
          </c:tx>
          <c:spPr>
            <a:solidFill>
              <a:schemeClr val="accent3"/>
            </a:solidFill>
            <a:ln>
              <a:noFill/>
            </a:ln>
            <a:effectLst/>
          </c:spPr>
          <c:invertIfNegative val="0"/>
          <c:cat>
            <c:numRef>
              <c:f>'[WB.v5.xlsx]Income Statement'!$C$40:$L$40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'[WB.v5.xlsx]Income Statement'!$C$43:$L$43</c:f>
              <c:numCache>
                <c:formatCode>#,##0.00</c:formatCode>
                <c:ptCount val="9"/>
                <c:pt idx="0">
                  <c:v>36.950000000000003</c:v>
                </c:pt>
                <c:pt idx="1">
                  <c:v>36.954999999999998</c:v>
                </c:pt>
                <c:pt idx="2">
                  <c:v>37.058999999999997</c:v>
                </c:pt>
                <c:pt idx="3">
                  <c:v>37.091999435424803</c:v>
                </c:pt>
                <c:pt idx="4">
                  <c:v>37</c:v>
                </c:pt>
                <c:pt idx="5">
                  <c:v>37</c:v>
                </c:pt>
                <c:pt idx="6">
                  <c:v>37</c:v>
                </c:pt>
                <c:pt idx="7">
                  <c:v>37</c:v>
                </c:pt>
                <c:pt idx="8">
                  <c:v>37</c:v>
                </c:pt>
              </c:numCache>
            </c:numRef>
          </c:val>
        </c:ser>
        <c:dLbls>
          <c:showLegendKey val="0"/>
          <c:showVal val="0"/>
          <c:showCatName val="0"/>
          <c:showSerName val="0"/>
          <c:showPercent val="0"/>
          <c:showBubbleSize val="0"/>
        </c:dLbls>
        <c:gapWidth val="219"/>
        <c:overlap val="-27"/>
        <c:axId val="476981552"/>
        <c:axId val="476981944"/>
      </c:barChart>
      <c:catAx>
        <c:axId val="47698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76981944"/>
        <c:crosses val="autoZero"/>
        <c:auto val="1"/>
        <c:lblAlgn val="ctr"/>
        <c:lblOffset val="100"/>
        <c:noMultiLvlLbl val="0"/>
      </c:catAx>
      <c:valAx>
        <c:axId val="476981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7698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12.xml><?xml version="1.0" encoding="utf-8"?>
<cs:colorStyle xmlns:cs="http://schemas.microsoft.com/office/drawing/2012/chartStyle" xmlns:a="http://schemas.openxmlformats.org/drawingml/2006/main" meth="withinLinear" id="18">
  <a:schemeClr val="accent5"/>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0.265</cdr:x>
      <cdr:y>0.27492</cdr:y>
    </cdr:from>
    <cdr:to>
      <cdr:x>0.865</cdr:x>
      <cdr:y>0.58912</cdr:y>
    </cdr:to>
    <cdr:cxnSp macro="">
      <cdr:nvCxnSpPr>
        <cdr:cNvPr id="5" name="Straight Arrow Connector 4"/>
        <cdr:cNvCxnSpPr/>
      </cdr:nvCxnSpPr>
      <cdr:spPr>
        <a:xfrm xmlns:a="http://schemas.openxmlformats.org/drawingml/2006/main" flipV="1">
          <a:off x="504825" y="866775"/>
          <a:ext cx="1143000" cy="990600"/>
        </a:xfrm>
        <a:prstGeom xmlns:a="http://schemas.openxmlformats.org/drawingml/2006/main" prst="straightConnector1">
          <a:avLst/>
        </a:prstGeom>
        <a:ln xmlns:a="http://schemas.openxmlformats.org/drawingml/2006/main" w="25400">
          <a:solidFill>
            <a:schemeClr val="accent6">
              <a:lumMod val="75000"/>
            </a:schemeClr>
          </a:solidFill>
          <a:prstDash val="sysDash"/>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cdr:x>
      <cdr:y>0.70997</cdr:y>
    </cdr:from>
    <cdr:to>
      <cdr:x>0.88</cdr:x>
      <cdr:y>0.75227</cdr:y>
    </cdr:to>
    <cdr:cxnSp macro="">
      <cdr:nvCxnSpPr>
        <cdr:cNvPr id="6" name="Straight Arrow Connector 5"/>
        <cdr:cNvCxnSpPr/>
      </cdr:nvCxnSpPr>
      <cdr:spPr>
        <a:xfrm xmlns:a="http://schemas.openxmlformats.org/drawingml/2006/main" flipV="1">
          <a:off x="438150" y="2238375"/>
          <a:ext cx="1238250" cy="133351"/>
        </a:xfrm>
        <a:prstGeom xmlns:a="http://schemas.openxmlformats.org/drawingml/2006/main" prst="straightConnector1">
          <a:avLst/>
        </a:prstGeom>
        <a:ln xmlns:a="http://schemas.openxmlformats.org/drawingml/2006/main" w="28575">
          <a:solidFill>
            <a:schemeClr val="accent3">
              <a:lumMod val="75000"/>
            </a:schemeClr>
          </a:solidFill>
          <a:prstDash val="sysDash"/>
          <a:tailEnd type="triangle"/>
        </a:ln>
        <a:scene3d xmlns:a="http://schemas.openxmlformats.org/drawingml/2006/main">
          <a:camera prst="orthographicFront"/>
          <a:lightRig rig="threePt" dir="t"/>
        </a:scene3d>
        <a:sp3d xmlns:a="http://schemas.openxmlformats.org/drawingml/2006/main" contourW="12700">
          <a:contourClr>
            <a:schemeClr val="bg1"/>
          </a:contourClr>
        </a:sp3d>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0.35655</cdr:x>
      <cdr:y>0.64766</cdr:y>
    </cdr:from>
    <cdr:to>
      <cdr:x>0.73197</cdr:x>
      <cdr:y>0.72939</cdr:y>
    </cdr:to>
    <cdr:sp macro="" textlink="">
      <cdr:nvSpPr>
        <cdr:cNvPr id="9" name="Text Box 2"/>
        <cdr:cNvSpPr txBox="1">
          <a:spLocks xmlns:a="http://schemas.openxmlformats.org/drawingml/2006/main" noChangeArrowheads="1"/>
        </cdr:cNvSpPr>
      </cdr:nvSpPr>
      <cdr:spPr bwMode="auto">
        <a:xfrm xmlns:a="http://schemas.openxmlformats.org/drawingml/2006/main" rot="21226293">
          <a:off x="679225" y="2041916"/>
          <a:ext cx="715171" cy="25767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0.34573</cdr:x>
      <cdr:y>0.65945</cdr:y>
    </cdr:from>
    <cdr:to>
      <cdr:x>0.69461</cdr:x>
      <cdr:y>0.73448</cdr:y>
    </cdr:to>
    <cdr:sp macro="" textlink="">
      <cdr:nvSpPr>
        <cdr:cNvPr id="10" name="Text Box 2"/>
        <cdr:cNvSpPr txBox="1">
          <a:spLocks xmlns:a="http://schemas.openxmlformats.org/drawingml/2006/main" noChangeArrowheads="1"/>
        </cdr:cNvSpPr>
      </cdr:nvSpPr>
      <cdr:spPr bwMode="auto">
        <a:xfrm xmlns:a="http://schemas.openxmlformats.org/drawingml/2006/main" rot="20956272">
          <a:off x="658623" y="2079094"/>
          <a:ext cx="664605" cy="2365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1000"/>
            <a:t>13.37%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68B571B424C43957B9A227C0BBF64" ma:contentTypeVersion="1" ma:contentTypeDescription="Create a new document." ma:contentTypeScope="" ma:versionID="87d164b1d5af71a063c44c96e20254b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4F381-2EFD-44B8-8338-395275ECF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9F6E312-D94F-4FFA-9B22-99753CB3818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936771F-5064-4699-BCF4-AF300D8E42CA}">
  <ds:schemaRefs>
    <ds:schemaRef ds:uri="http://schemas.microsoft.com/sharepoint/v3/contenttype/forms"/>
  </ds:schemaRefs>
</ds:datastoreItem>
</file>

<file path=customXml/itemProps4.xml><?xml version="1.0" encoding="utf-8"?>
<ds:datastoreItem xmlns:ds="http://schemas.openxmlformats.org/officeDocument/2006/customXml" ds:itemID="{29A6D3C3-0AF9-496A-B269-789B31D4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21</Pages>
  <Words>5202</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NYSSA Investment Challenge</vt:lpstr>
    </vt:vector>
  </TitlesOfParts>
  <Company>NYSSA</Company>
  <LinksUpToDate>false</LinksUpToDate>
  <CharactersWithSpaces>34788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NYSSA Investment Challenge</dc:title>
  <dc:subject/>
  <dc:creator>NYSSA</dc:creator>
  <cp:keywords/>
  <dc:description/>
  <cp:lastModifiedBy>Brandon Frison</cp:lastModifiedBy>
  <cp:revision>75</cp:revision>
  <cp:lastPrinted>2016-02-04T00:59:00Z</cp:lastPrinted>
  <dcterms:created xsi:type="dcterms:W3CDTF">2016-02-05T22:33:00Z</dcterms:created>
  <dcterms:modified xsi:type="dcterms:W3CDTF">2016-03-04T11:06:00Z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0x010100F0B68B571B424C43957B9A227C0BBF64</vt:lpwstr>
  </property>
</Properties>
</file>